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6C" w:rsidRDefault="00EF6019" w:rsidP="00D06DA0">
      <w:pPr>
        <w:jc w:val="center"/>
      </w:pPr>
      <w:r>
        <w:t>ПР-54 от 19.05.2015</w:t>
      </w: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2C1F36" w:rsidRDefault="002C1F36" w:rsidP="00D06DA0">
      <w:pPr>
        <w:jc w:val="center"/>
      </w:pPr>
    </w:p>
    <w:p w:rsidR="00D06DA0" w:rsidRDefault="00D06DA0" w:rsidP="002C1F3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52929">
        <w:rPr>
          <w:rFonts w:eastAsiaTheme="minorHAnsi"/>
          <w:sz w:val="28"/>
          <w:szCs w:val="28"/>
          <w:lang w:eastAsia="en-US"/>
        </w:rPr>
        <w:t xml:space="preserve">О </w:t>
      </w:r>
      <w:r>
        <w:rPr>
          <w:rFonts w:eastAsiaTheme="minorHAnsi"/>
          <w:sz w:val="28"/>
          <w:szCs w:val="28"/>
          <w:lang w:eastAsia="en-US"/>
        </w:rPr>
        <w:t>внесении изменений в постановление руководителя Исполнительного комитета Актанышского муниципального района от 04.03.2014г. №ПР-141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</w:t>
      </w:r>
      <w:r w:rsidRPr="00D06D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аварийным и подлежащим сносу или реконструкции»</w:t>
      </w:r>
    </w:p>
    <w:p w:rsidR="00D06DA0" w:rsidRDefault="00D06DA0" w:rsidP="002C1F3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06DA0" w:rsidRPr="00E65BA6" w:rsidRDefault="00D06DA0" w:rsidP="002C1F36">
      <w:pPr>
        <w:pStyle w:val="a5"/>
        <w:spacing w:line="240" w:lineRule="auto"/>
        <w:ind w:left="0" w:right="0" w:firstLine="709"/>
        <w:contextualSpacing/>
        <w:jc w:val="both"/>
        <w:rPr>
          <w:bCs/>
          <w:sz w:val="28"/>
          <w:szCs w:val="28"/>
        </w:rPr>
      </w:pPr>
      <w:r w:rsidRPr="00C63A12">
        <w:rPr>
          <w:b w:val="0"/>
          <w:sz w:val="28"/>
          <w:szCs w:val="28"/>
        </w:rPr>
        <w:t xml:space="preserve">Во исполнение </w:t>
      </w:r>
      <w:r>
        <w:rPr>
          <w:b w:val="0"/>
          <w:sz w:val="28"/>
          <w:szCs w:val="28"/>
        </w:rPr>
        <w:t>постановления Правительства Российской Федерации от 25.03.2015 №269 «О внесении изменений в 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C63A12">
        <w:rPr>
          <w:b w:val="0"/>
          <w:sz w:val="28"/>
          <w:szCs w:val="28"/>
        </w:rPr>
        <w:t xml:space="preserve"> </w:t>
      </w:r>
      <w:r w:rsidR="00EC392F">
        <w:rPr>
          <w:bCs/>
          <w:sz w:val="28"/>
          <w:szCs w:val="28"/>
        </w:rPr>
        <w:t>п</w:t>
      </w:r>
      <w:r w:rsidRPr="00E65BA6">
        <w:rPr>
          <w:bCs/>
          <w:sz w:val="28"/>
          <w:szCs w:val="28"/>
        </w:rPr>
        <w:t>остановляю</w:t>
      </w:r>
      <w:r w:rsidRPr="00E65BA6">
        <w:rPr>
          <w:b w:val="0"/>
          <w:bCs/>
          <w:sz w:val="28"/>
          <w:szCs w:val="28"/>
        </w:rPr>
        <w:t>:</w:t>
      </w:r>
    </w:p>
    <w:p w:rsidR="00D06DA0" w:rsidRDefault="00D06DA0" w:rsidP="002C1F36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E65BA6">
        <w:rPr>
          <w:sz w:val="28"/>
          <w:szCs w:val="28"/>
        </w:rPr>
        <w:t xml:space="preserve">Внести в Административный 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утвержденный постановлением Исполнительного комитета </w:t>
      </w:r>
      <w:r>
        <w:rPr>
          <w:sz w:val="28"/>
          <w:szCs w:val="28"/>
        </w:rPr>
        <w:t>Актанышского муниципального района РТ  от 04.03</w:t>
      </w:r>
      <w:r w:rsidRPr="00E65BA6">
        <w:rPr>
          <w:sz w:val="28"/>
          <w:szCs w:val="28"/>
        </w:rPr>
        <w:t>.2014 №</w:t>
      </w:r>
      <w:r>
        <w:rPr>
          <w:sz w:val="28"/>
          <w:szCs w:val="28"/>
        </w:rPr>
        <w:t>ПР-141</w:t>
      </w:r>
      <w:r w:rsidRPr="00E65BA6">
        <w:rPr>
          <w:sz w:val="28"/>
          <w:szCs w:val="28"/>
        </w:rPr>
        <w:t>, следующие изменения:</w:t>
      </w:r>
    </w:p>
    <w:p w:rsidR="00D06DA0" w:rsidRDefault="00D06DA0" w:rsidP="002C1F36">
      <w:pPr>
        <w:ind w:firstLine="709"/>
        <w:contextualSpacing/>
        <w:jc w:val="both"/>
        <w:rPr>
          <w:sz w:val="28"/>
          <w:szCs w:val="28"/>
        </w:rPr>
      </w:pPr>
      <w:r w:rsidRPr="00E65BA6">
        <w:rPr>
          <w:sz w:val="28"/>
          <w:szCs w:val="28"/>
        </w:rPr>
        <w:t>1.1.</w:t>
      </w:r>
      <w:r>
        <w:rPr>
          <w:sz w:val="28"/>
          <w:szCs w:val="28"/>
        </w:rPr>
        <w:t xml:space="preserve"> пункт 2.3</w:t>
      </w:r>
      <w:r w:rsidRPr="00E65BA6">
        <w:rPr>
          <w:sz w:val="28"/>
          <w:szCs w:val="28"/>
        </w:rPr>
        <w:t xml:space="preserve"> </w:t>
      </w:r>
      <w:r>
        <w:rPr>
          <w:sz w:val="28"/>
          <w:szCs w:val="28"/>
        </w:rPr>
        <w:t>графы</w:t>
      </w:r>
      <w:r w:rsidRPr="00E65BA6">
        <w:rPr>
          <w:sz w:val="28"/>
          <w:szCs w:val="28"/>
        </w:rPr>
        <w:t xml:space="preserve"> «Содержание требования стандарта предоставления муниципальной услуги»</w:t>
      </w:r>
      <w:r>
        <w:rPr>
          <w:sz w:val="28"/>
          <w:szCs w:val="28"/>
        </w:rPr>
        <w:t xml:space="preserve"> изложить в следующей редакции</w:t>
      </w:r>
      <w:r w:rsidRPr="00E65BA6">
        <w:rPr>
          <w:sz w:val="28"/>
          <w:szCs w:val="28"/>
        </w:rPr>
        <w:t>:</w:t>
      </w:r>
    </w:p>
    <w:p w:rsidR="00D06DA0" w:rsidRDefault="00D06DA0" w:rsidP="002C1F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«2.3. </w:t>
      </w:r>
      <w:proofErr w:type="gramStart"/>
      <w:r>
        <w:rPr>
          <w:rFonts w:eastAsia="Calibri"/>
          <w:sz w:val="28"/>
          <w:szCs w:val="28"/>
        </w:rPr>
        <w:t>В случае признания жилых помещений пригодными для проживания, либо выявления оснований для признания помещения непригодными для проживания или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Постановлении №47 требованиями  издается распоряжение за подписью Руководителя Исполнительного комитета Актанышского муниципального района РТ.</w:t>
      </w:r>
      <w:proofErr w:type="gramEnd"/>
    </w:p>
    <w:p w:rsidR="00D06DA0" w:rsidRDefault="00D06DA0" w:rsidP="002C1F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выявления оснований для признания многоквартирного дома аварийным и подлежащим сносу или реконструкции издается постановление за подписью Руководителя Исполнительного комитета Актанышского муниципального района РТ.</w:t>
      </w:r>
    </w:p>
    <w:p w:rsidR="00D06DA0" w:rsidRDefault="00D06DA0" w:rsidP="002C1F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Решение (постановление, распоряжение) оформляется на бланке утвержденной формы. В распоряжении указывается о признании помещения </w:t>
      </w:r>
      <w:proofErr w:type="gramStart"/>
      <w:r>
        <w:rPr>
          <w:rFonts w:eastAsia="Calibri"/>
          <w:sz w:val="28"/>
          <w:szCs w:val="28"/>
        </w:rPr>
        <w:t>пригодным</w:t>
      </w:r>
      <w:proofErr w:type="gramEnd"/>
      <w:r>
        <w:rPr>
          <w:rFonts w:eastAsia="Calibri"/>
          <w:sz w:val="28"/>
          <w:szCs w:val="28"/>
        </w:rPr>
        <w:t xml:space="preserve"> для проживания или о выявлении оснований для признания помещения непригодным для проживания, или о необходимости проведения ремонтно-восстановительных работ жилых помещений. В Постановлении - о выявлении оснований для признания многоквартирного дома аварийным и подлежащим сносу или реконструкции, дальнейшем использовании помещения, сроках отселения физических и юридических лиц.</w:t>
      </w:r>
    </w:p>
    <w:p w:rsidR="00D06DA0" w:rsidRDefault="00D06DA0" w:rsidP="002C1F3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случае если комиссией проводится оценка жилых помещений жилищного фонда Российской Федерации, а также многоквартирного дома, находящегося в федеральной собственности,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федеральным органом исполнительной власти, осуществляющим полномочия собственника в отношении оцениваемого имущества, на основании заключения комиссии, оформленного</w:t>
      </w:r>
      <w:proofErr w:type="gramEnd"/>
      <w:r>
        <w:rPr>
          <w:rFonts w:eastAsia="Calibri"/>
          <w:sz w:val="28"/>
          <w:szCs w:val="28"/>
        </w:rPr>
        <w:t xml:space="preserve"> в порядке, предусмотренным </w:t>
      </w:r>
      <w:hyperlink r:id="rId6" w:history="1">
        <w:r w:rsidRPr="00557280">
          <w:rPr>
            <w:rFonts w:eastAsia="Calibri"/>
            <w:color w:val="000000"/>
            <w:sz w:val="28"/>
            <w:szCs w:val="28"/>
          </w:rPr>
          <w:t>Постановлением№ 47</w:t>
        </w:r>
      </w:hyperlink>
      <w:r w:rsidRPr="00557280">
        <w:rPr>
          <w:rFonts w:eastAsia="Calibri"/>
          <w:color w:val="000000"/>
          <w:sz w:val="28"/>
          <w:szCs w:val="28"/>
        </w:rPr>
        <w:t>.»</w:t>
      </w:r>
    </w:p>
    <w:p w:rsidR="00D06DA0" w:rsidRPr="00E65BA6" w:rsidRDefault="00D06DA0" w:rsidP="002C1F36">
      <w:pPr>
        <w:ind w:firstLine="709"/>
        <w:contextualSpacing/>
        <w:jc w:val="both"/>
        <w:rPr>
          <w:sz w:val="28"/>
          <w:szCs w:val="28"/>
        </w:rPr>
      </w:pPr>
      <w:r w:rsidRPr="00E65BA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E65BA6">
        <w:rPr>
          <w:sz w:val="28"/>
          <w:szCs w:val="28"/>
        </w:rPr>
        <w:t>. пункт 2.</w:t>
      </w:r>
      <w:r>
        <w:rPr>
          <w:sz w:val="28"/>
          <w:szCs w:val="28"/>
        </w:rPr>
        <w:t>5</w:t>
      </w:r>
      <w:r w:rsidRPr="00E65BA6">
        <w:rPr>
          <w:sz w:val="28"/>
          <w:szCs w:val="28"/>
        </w:rPr>
        <w:t xml:space="preserve"> </w:t>
      </w:r>
      <w:r>
        <w:rPr>
          <w:sz w:val="28"/>
          <w:szCs w:val="28"/>
        </w:rPr>
        <w:t>графы</w:t>
      </w:r>
      <w:r w:rsidRPr="00E65BA6">
        <w:rPr>
          <w:sz w:val="28"/>
          <w:szCs w:val="28"/>
        </w:rPr>
        <w:t xml:space="preserve"> «Содержание требования стандарта предоставления муниципальной услуги»</w:t>
      </w:r>
      <w:r>
        <w:rPr>
          <w:sz w:val="28"/>
          <w:szCs w:val="28"/>
        </w:rPr>
        <w:t xml:space="preserve"> дополнить подпунктом «7)» следующего содержания</w:t>
      </w:r>
      <w:r w:rsidRPr="00E65BA6">
        <w:rPr>
          <w:sz w:val="28"/>
          <w:szCs w:val="28"/>
        </w:rPr>
        <w:t>:</w:t>
      </w:r>
    </w:p>
    <w:p w:rsidR="00D06DA0" w:rsidRPr="007D4BF1" w:rsidRDefault="00D06DA0" w:rsidP="002C1F3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4BF1">
        <w:rPr>
          <w:sz w:val="28"/>
          <w:szCs w:val="28"/>
        </w:rPr>
        <w:t>«</w:t>
      </w:r>
      <w:r>
        <w:rPr>
          <w:sz w:val="28"/>
          <w:szCs w:val="28"/>
        </w:rPr>
        <w:t xml:space="preserve">7) </w:t>
      </w:r>
      <w:r w:rsidRPr="007D4BF1">
        <w:rPr>
          <w:sz w:val="28"/>
          <w:szCs w:val="28"/>
        </w:rPr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орган местного самоуправления не </w:t>
      </w:r>
      <w:proofErr w:type="gramStart"/>
      <w:r w:rsidRPr="007D4BF1">
        <w:rPr>
          <w:sz w:val="28"/>
          <w:szCs w:val="28"/>
        </w:rPr>
        <w:t>позднее</w:t>
      </w:r>
      <w:proofErr w:type="gramEnd"/>
      <w:r w:rsidRPr="007D4BF1">
        <w:rPr>
          <w:sz w:val="28"/>
          <w:szCs w:val="28"/>
        </w:rPr>
        <w:t xml:space="preserve"> чем за 20 дней до дня начала работы комиссии обязан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</w:t>
      </w:r>
      <w:r w:rsidR="000B159F">
        <w:rPr>
          <w:sz w:val="28"/>
          <w:szCs w:val="28"/>
        </w:rPr>
        <w:t xml:space="preserve">государственных и муниципальных услуг (функций) </w:t>
      </w:r>
      <w:hyperlink r:id="rId7" w:history="1">
        <w:r w:rsidR="000B159F" w:rsidRPr="0032361D">
          <w:rPr>
            <w:rStyle w:val="a7"/>
            <w:sz w:val="28"/>
            <w:szCs w:val="28"/>
            <w:lang w:val="en-US"/>
          </w:rPr>
          <w:t>http</w:t>
        </w:r>
        <w:r w:rsidR="000B159F" w:rsidRPr="0032361D">
          <w:rPr>
            <w:rStyle w:val="a7"/>
            <w:sz w:val="28"/>
            <w:szCs w:val="28"/>
          </w:rPr>
          <w:t>:</w:t>
        </w:r>
        <w:r w:rsidR="000B159F" w:rsidRPr="000B159F">
          <w:rPr>
            <w:rStyle w:val="a7"/>
            <w:sz w:val="28"/>
            <w:szCs w:val="28"/>
          </w:rPr>
          <w:t>//</w:t>
        </w:r>
        <w:r w:rsidR="000B159F" w:rsidRPr="0032361D">
          <w:rPr>
            <w:rStyle w:val="a7"/>
            <w:sz w:val="28"/>
            <w:szCs w:val="28"/>
            <w:lang w:val="en-US"/>
          </w:rPr>
          <w:t>www</w:t>
        </w:r>
        <w:r w:rsidR="000B159F" w:rsidRPr="000B159F">
          <w:rPr>
            <w:rStyle w:val="a7"/>
            <w:sz w:val="28"/>
            <w:szCs w:val="28"/>
          </w:rPr>
          <w:t>.</w:t>
        </w:r>
        <w:proofErr w:type="spellStart"/>
        <w:r w:rsidR="000B159F" w:rsidRPr="0032361D">
          <w:rPr>
            <w:rStyle w:val="a7"/>
            <w:sz w:val="28"/>
            <w:szCs w:val="28"/>
            <w:lang w:val="en-US"/>
          </w:rPr>
          <w:t>gosuslugi</w:t>
        </w:r>
        <w:proofErr w:type="spellEnd"/>
        <w:r w:rsidR="000B159F" w:rsidRPr="000B159F">
          <w:rPr>
            <w:rStyle w:val="a7"/>
            <w:sz w:val="28"/>
            <w:szCs w:val="28"/>
          </w:rPr>
          <w:t>.</w:t>
        </w:r>
        <w:proofErr w:type="spellStart"/>
        <w:r w:rsidR="000B159F" w:rsidRPr="0032361D">
          <w:rPr>
            <w:rStyle w:val="a7"/>
            <w:sz w:val="28"/>
            <w:szCs w:val="28"/>
            <w:lang w:val="en-US"/>
          </w:rPr>
          <w:t>ru</w:t>
        </w:r>
        <w:proofErr w:type="spellEnd"/>
        <w:r w:rsidR="000B159F" w:rsidRPr="000B159F">
          <w:rPr>
            <w:rStyle w:val="a7"/>
            <w:sz w:val="28"/>
            <w:szCs w:val="28"/>
          </w:rPr>
          <w:t>/</w:t>
        </w:r>
      </w:hyperlink>
      <w:r w:rsidR="000B159F" w:rsidRPr="000B159F">
        <w:rPr>
          <w:sz w:val="28"/>
          <w:szCs w:val="28"/>
        </w:rPr>
        <w:t xml:space="preserve"> </w:t>
      </w:r>
      <w:r w:rsidRPr="007D4BF1">
        <w:rPr>
          <w:sz w:val="28"/>
          <w:szCs w:val="28"/>
        </w:rPr>
        <w:t>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 "Интернет".</w:t>
      </w:r>
    </w:p>
    <w:p w:rsidR="00D06DA0" w:rsidRPr="007D4BF1" w:rsidRDefault="00D06DA0" w:rsidP="002C1F3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7D4BF1">
        <w:rPr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вручении, а также в форме электронного документа с использованием единого портала</w:t>
      </w:r>
      <w:r w:rsidR="000B159F">
        <w:rPr>
          <w:sz w:val="28"/>
          <w:szCs w:val="28"/>
        </w:rPr>
        <w:t xml:space="preserve"> государственных и муниципальных услуг</w:t>
      </w:r>
      <w:r w:rsidR="00EC392F">
        <w:rPr>
          <w:sz w:val="28"/>
          <w:szCs w:val="28"/>
        </w:rPr>
        <w:t xml:space="preserve"> </w:t>
      </w:r>
      <w:r w:rsidR="000B159F">
        <w:rPr>
          <w:sz w:val="28"/>
          <w:szCs w:val="28"/>
        </w:rPr>
        <w:t xml:space="preserve"> (функций) </w:t>
      </w:r>
      <w:r w:rsidR="00EC392F">
        <w:rPr>
          <w:sz w:val="28"/>
          <w:szCs w:val="28"/>
        </w:rPr>
        <w:t xml:space="preserve"> </w:t>
      </w:r>
      <w:hyperlink r:id="rId8" w:history="1">
        <w:r w:rsidR="000B159F" w:rsidRPr="0032361D">
          <w:rPr>
            <w:rStyle w:val="a7"/>
            <w:sz w:val="28"/>
            <w:szCs w:val="28"/>
            <w:lang w:val="en-US"/>
          </w:rPr>
          <w:t>http</w:t>
        </w:r>
        <w:r w:rsidR="000B159F" w:rsidRPr="0032361D">
          <w:rPr>
            <w:rStyle w:val="a7"/>
            <w:sz w:val="28"/>
            <w:szCs w:val="28"/>
          </w:rPr>
          <w:t>:</w:t>
        </w:r>
        <w:r w:rsidR="000B159F" w:rsidRPr="000B159F">
          <w:rPr>
            <w:rStyle w:val="a7"/>
            <w:sz w:val="28"/>
            <w:szCs w:val="28"/>
          </w:rPr>
          <w:t>//</w:t>
        </w:r>
        <w:r w:rsidR="000B159F" w:rsidRPr="0032361D">
          <w:rPr>
            <w:rStyle w:val="a7"/>
            <w:sz w:val="28"/>
            <w:szCs w:val="28"/>
            <w:lang w:val="en-US"/>
          </w:rPr>
          <w:t>www</w:t>
        </w:r>
        <w:r w:rsidR="000B159F" w:rsidRPr="000B159F">
          <w:rPr>
            <w:rStyle w:val="a7"/>
            <w:sz w:val="28"/>
            <w:szCs w:val="28"/>
          </w:rPr>
          <w:t>.</w:t>
        </w:r>
        <w:proofErr w:type="spellStart"/>
        <w:r w:rsidR="000B159F" w:rsidRPr="0032361D">
          <w:rPr>
            <w:rStyle w:val="a7"/>
            <w:sz w:val="28"/>
            <w:szCs w:val="28"/>
            <w:lang w:val="en-US"/>
          </w:rPr>
          <w:t>gosuslugi</w:t>
        </w:r>
        <w:proofErr w:type="spellEnd"/>
        <w:r w:rsidR="000B159F" w:rsidRPr="000B159F">
          <w:rPr>
            <w:rStyle w:val="a7"/>
            <w:sz w:val="28"/>
            <w:szCs w:val="28"/>
          </w:rPr>
          <w:t>.</w:t>
        </w:r>
        <w:proofErr w:type="spellStart"/>
        <w:r w:rsidR="000B159F" w:rsidRPr="0032361D">
          <w:rPr>
            <w:rStyle w:val="a7"/>
            <w:sz w:val="28"/>
            <w:szCs w:val="28"/>
            <w:lang w:val="en-US"/>
          </w:rPr>
          <w:t>ru</w:t>
        </w:r>
        <w:proofErr w:type="spellEnd"/>
        <w:r w:rsidR="000B159F" w:rsidRPr="000B159F">
          <w:rPr>
            <w:rStyle w:val="a7"/>
            <w:sz w:val="28"/>
            <w:szCs w:val="28"/>
          </w:rPr>
          <w:t>/</w:t>
        </w:r>
      </w:hyperlink>
      <w:r w:rsidR="000B159F">
        <w:rPr>
          <w:sz w:val="28"/>
          <w:szCs w:val="28"/>
        </w:rPr>
        <w:t xml:space="preserve"> </w:t>
      </w:r>
      <w:r w:rsidRPr="007D4BF1">
        <w:rPr>
          <w:sz w:val="28"/>
          <w:szCs w:val="28"/>
        </w:rPr>
        <w:t xml:space="preserve"> информацию о своем</w:t>
      </w:r>
      <w:proofErr w:type="gramEnd"/>
      <w:r w:rsidRPr="007D4BF1">
        <w:rPr>
          <w:sz w:val="28"/>
          <w:szCs w:val="28"/>
        </w:rPr>
        <w:t xml:space="preserve"> </w:t>
      </w:r>
      <w:proofErr w:type="gramStart"/>
      <w:r w:rsidRPr="007D4BF1">
        <w:rPr>
          <w:sz w:val="28"/>
          <w:szCs w:val="28"/>
        </w:rPr>
        <w:t>представителе</w:t>
      </w:r>
      <w:proofErr w:type="gramEnd"/>
      <w:r w:rsidRPr="007D4BF1">
        <w:rPr>
          <w:sz w:val="28"/>
          <w:szCs w:val="28"/>
        </w:rPr>
        <w:t>, уполномоченном на участие в работе комиссии.</w:t>
      </w:r>
    </w:p>
    <w:p w:rsidR="00D06DA0" w:rsidRDefault="00D06DA0" w:rsidP="002C1F36">
      <w:pPr>
        <w:ind w:firstLine="567"/>
        <w:jc w:val="both"/>
        <w:rPr>
          <w:sz w:val="28"/>
          <w:szCs w:val="28"/>
        </w:rPr>
      </w:pPr>
      <w:r w:rsidRPr="007D4BF1">
        <w:rPr>
          <w:sz w:val="28"/>
          <w:szCs w:val="28"/>
        </w:rPr>
        <w:t>В случае если уполномоченные представители не принимали участие в работе комиссии (при условии соблюдения установленного настоящим пунктом порядка уведомления о дате начала работы комиссии), комиссия принимает решение в отсутствие указанных представителей»;</w:t>
      </w:r>
    </w:p>
    <w:p w:rsidR="00D06DA0" w:rsidRDefault="00D06DA0" w:rsidP="002C1F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3.5.5. изложить в следующей редакции:</w:t>
      </w:r>
    </w:p>
    <w:p w:rsidR="00D06DA0" w:rsidRDefault="00D06DA0" w:rsidP="002C1F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«Секретарь комиссии осуществляет:</w:t>
      </w:r>
    </w:p>
    <w:p w:rsidR="00D06DA0" w:rsidRDefault="00D06DA0" w:rsidP="002C1F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изучение поступивших документов;</w:t>
      </w:r>
    </w:p>
    <w:p w:rsidR="00D06DA0" w:rsidRDefault="00D06DA0" w:rsidP="002C1F3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назначение дня заседани</w:t>
      </w:r>
      <w:r w:rsidR="002C1F36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комиссии;</w:t>
      </w:r>
    </w:p>
    <w:p w:rsidR="00D06DA0" w:rsidRDefault="00D06DA0" w:rsidP="002C1F36">
      <w:pPr>
        <w:ind w:firstLine="567"/>
        <w:rPr>
          <w:sz w:val="28"/>
          <w:szCs w:val="28"/>
        </w:rPr>
      </w:pPr>
      <w:r>
        <w:rPr>
          <w:sz w:val="28"/>
          <w:szCs w:val="28"/>
        </w:rPr>
        <w:t>-извещение членов комиссии о дне заседания комиссии.</w:t>
      </w:r>
    </w:p>
    <w:p w:rsidR="00D06DA0" w:rsidRDefault="00D06DA0" w:rsidP="002C1F3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</w:t>
      </w:r>
      <w:r w:rsidR="00717C00">
        <w:rPr>
          <w:rFonts w:eastAsia="Calibri"/>
          <w:sz w:val="28"/>
          <w:szCs w:val="28"/>
        </w:rPr>
        <w:t>енному предприятию (</w:t>
      </w:r>
      <w:proofErr w:type="gramStart"/>
      <w:r w:rsidR="00717C00">
        <w:rPr>
          <w:rFonts w:eastAsia="Calibri"/>
          <w:sz w:val="28"/>
          <w:szCs w:val="28"/>
        </w:rPr>
        <w:t>учреждению)</w:t>
      </w:r>
      <w:r w:rsidR="002C1F36">
        <w:rPr>
          <w:rFonts w:eastAsia="Calibri"/>
          <w:sz w:val="28"/>
          <w:szCs w:val="28"/>
        </w:rPr>
        <w:t xml:space="preserve"> </w:t>
      </w:r>
      <w:proofErr w:type="gramEnd"/>
      <w:r>
        <w:rPr>
          <w:rFonts w:eastAsia="Calibri"/>
          <w:sz w:val="28"/>
          <w:szCs w:val="28"/>
        </w:rPr>
        <w:t>оцениваемое имущество принадлежит на соответствующем вещном праве (далее - правообладатель).</w:t>
      </w:r>
    </w:p>
    <w:p w:rsidR="00D06DA0" w:rsidRDefault="00D06DA0" w:rsidP="002C1F3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извещение ч</w:t>
      </w:r>
      <w:r w:rsidR="00717C00">
        <w:rPr>
          <w:sz w:val="28"/>
          <w:szCs w:val="28"/>
        </w:rPr>
        <w:t>ленов комиссии о дате заседания</w:t>
      </w:r>
      <w:r>
        <w:rPr>
          <w:sz w:val="28"/>
          <w:szCs w:val="28"/>
        </w:rPr>
        <w:t>»</w:t>
      </w:r>
      <w:r w:rsidR="00717C00">
        <w:rPr>
          <w:sz w:val="28"/>
          <w:szCs w:val="28"/>
        </w:rPr>
        <w:t>;</w:t>
      </w:r>
    </w:p>
    <w:p w:rsidR="00D06DA0" w:rsidRDefault="00D06DA0" w:rsidP="002C1F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Пятый абзац пункта 3</w:t>
      </w:r>
      <w:r w:rsidRPr="00E65BA6">
        <w:rPr>
          <w:sz w:val="28"/>
          <w:szCs w:val="28"/>
        </w:rPr>
        <w:t>.</w:t>
      </w:r>
      <w:r w:rsidR="00717C00">
        <w:rPr>
          <w:sz w:val="28"/>
          <w:szCs w:val="28"/>
        </w:rPr>
        <w:t>7</w:t>
      </w:r>
      <w:r w:rsidRPr="00E65BA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E65BA6">
        <w:rPr>
          <w:sz w:val="28"/>
          <w:szCs w:val="28"/>
        </w:rPr>
        <w:t>:</w:t>
      </w:r>
    </w:p>
    <w:p w:rsidR="00D06DA0" w:rsidRPr="007D4BF1" w:rsidRDefault="00D06DA0" w:rsidP="002C1F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 отсутствия необходимости в осмотре помещения комиссия принимает решение об оценке соответствия помещений и многоквартирных домов установленным в </w:t>
      </w:r>
      <w:r>
        <w:rPr>
          <w:rFonts w:eastAsia="Calibri"/>
          <w:sz w:val="28"/>
          <w:szCs w:val="28"/>
        </w:rPr>
        <w:t>Постановлении №47 требованиям. Если число голосов «за и «против» при принятии решения равно, решающим являе</w:t>
      </w:r>
      <w:r w:rsidR="00717C00">
        <w:rPr>
          <w:rFonts w:eastAsia="Calibri"/>
          <w:sz w:val="28"/>
          <w:szCs w:val="28"/>
        </w:rPr>
        <w:t>тся голос председателя комиссии</w:t>
      </w:r>
      <w:r>
        <w:rPr>
          <w:sz w:val="28"/>
          <w:szCs w:val="28"/>
        </w:rPr>
        <w:t>»</w:t>
      </w:r>
      <w:r w:rsidR="00717C00">
        <w:rPr>
          <w:sz w:val="28"/>
          <w:szCs w:val="28"/>
        </w:rPr>
        <w:t>;</w:t>
      </w:r>
    </w:p>
    <w:p w:rsidR="00D06DA0" w:rsidRPr="00E65BA6" w:rsidRDefault="00D06DA0" w:rsidP="002C1F36">
      <w:pPr>
        <w:ind w:firstLine="709"/>
        <w:contextualSpacing/>
        <w:jc w:val="both"/>
        <w:rPr>
          <w:sz w:val="28"/>
          <w:szCs w:val="28"/>
        </w:rPr>
      </w:pPr>
      <w:r w:rsidRPr="00E65BA6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E65BA6">
        <w:rPr>
          <w:sz w:val="28"/>
          <w:szCs w:val="28"/>
        </w:rPr>
        <w:t xml:space="preserve">. </w:t>
      </w:r>
      <w:r w:rsidR="00717C00">
        <w:rPr>
          <w:sz w:val="28"/>
          <w:szCs w:val="28"/>
        </w:rPr>
        <w:t>Восьмой</w:t>
      </w:r>
      <w:r>
        <w:rPr>
          <w:sz w:val="28"/>
          <w:szCs w:val="28"/>
        </w:rPr>
        <w:t xml:space="preserve"> абзац </w:t>
      </w:r>
      <w:r w:rsidRPr="00E65BA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E65BA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717C00">
        <w:rPr>
          <w:sz w:val="28"/>
          <w:szCs w:val="28"/>
        </w:rPr>
        <w:t>.7</w:t>
      </w:r>
      <w:r w:rsidRPr="00E65BA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E65BA6">
        <w:rPr>
          <w:sz w:val="28"/>
          <w:szCs w:val="28"/>
        </w:rPr>
        <w:t>:</w:t>
      </w:r>
    </w:p>
    <w:p w:rsidR="00D06DA0" w:rsidRDefault="00D06DA0" w:rsidP="002C1F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65BA6"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Результат процедуры: решение Комиссии о признании жилого помещения пригодным для проживания, либо о выявлении оснований для признания помещения непригодным для проживания, либо о выявлении оснований для признания многоквартирного дома аварийным и подлежащим сносу или реконструкции, либо о выявлении оснований для признания помещения подлежащим капитальному ремонту, реконструкции или пере</w:t>
      </w:r>
      <w:r w:rsidR="00EC392F">
        <w:rPr>
          <w:rFonts w:eastAsia="Calibri"/>
          <w:sz w:val="28"/>
          <w:szCs w:val="28"/>
        </w:rPr>
        <w:t xml:space="preserve">планировки (при необходимости - </w:t>
      </w:r>
      <w:r>
        <w:rPr>
          <w:rFonts w:eastAsia="Calibri"/>
          <w:sz w:val="28"/>
          <w:szCs w:val="28"/>
        </w:rPr>
        <w:t>с технико-экономическим обоснованием) с целью приведения утраченных в процессе эксплуатации</w:t>
      </w:r>
      <w:proofErr w:type="gramEnd"/>
      <w:r>
        <w:rPr>
          <w:rFonts w:eastAsia="Calibri"/>
          <w:sz w:val="28"/>
          <w:szCs w:val="28"/>
        </w:rPr>
        <w:t xml:space="preserve"> характеристик жилого помещения в соответствие </w:t>
      </w:r>
      <w:proofErr w:type="gramStart"/>
      <w:r>
        <w:rPr>
          <w:rFonts w:eastAsia="Calibri"/>
          <w:sz w:val="28"/>
          <w:szCs w:val="28"/>
        </w:rPr>
        <w:t>с</w:t>
      </w:r>
      <w:proofErr w:type="gramEnd"/>
      <w:r>
        <w:rPr>
          <w:rFonts w:eastAsia="Calibri"/>
          <w:sz w:val="28"/>
          <w:szCs w:val="28"/>
        </w:rPr>
        <w:t xml:space="preserve"> установленными в Постановлении №47.</w:t>
      </w:r>
      <w:r w:rsidRPr="00E65BA6">
        <w:rPr>
          <w:sz w:val="28"/>
          <w:szCs w:val="28"/>
        </w:rPr>
        <w:t>»;</w:t>
      </w:r>
    </w:p>
    <w:p w:rsidR="00D06DA0" w:rsidRDefault="00D06DA0" w:rsidP="002C1F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 П</w:t>
      </w:r>
      <w:r w:rsidR="00717C00">
        <w:rPr>
          <w:sz w:val="28"/>
          <w:szCs w:val="28"/>
        </w:rPr>
        <w:t>одпункт 3.8.3</w:t>
      </w:r>
      <w:r>
        <w:rPr>
          <w:sz w:val="28"/>
          <w:szCs w:val="28"/>
        </w:rPr>
        <w:t xml:space="preserve"> изложить в следующей редакции:</w:t>
      </w:r>
    </w:p>
    <w:p w:rsidR="00D06DA0" w:rsidRDefault="00D06DA0" w:rsidP="002C1F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17C00">
        <w:rPr>
          <w:sz w:val="28"/>
          <w:szCs w:val="28"/>
        </w:rPr>
        <w:t xml:space="preserve">3.8.3 </w:t>
      </w:r>
      <w:r>
        <w:rPr>
          <w:sz w:val="28"/>
          <w:szCs w:val="28"/>
        </w:rPr>
        <w:t>Секретарь комиссии оформляет решение комиссии в форме заключения (три экземпляра</w:t>
      </w:r>
      <w:r w:rsidR="00717C00">
        <w:rPr>
          <w:sz w:val="28"/>
          <w:szCs w:val="28"/>
        </w:rPr>
        <w:t>) (приложение №3</w:t>
      </w:r>
      <w:r>
        <w:rPr>
          <w:sz w:val="28"/>
          <w:szCs w:val="28"/>
        </w:rPr>
        <w:t>) с указанием соответствующих оснований принятия решения и передает на подпись членам комиссии.</w:t>
      </w:r>
    </w:p>
    <w:p w:rsidR="00D06DA0" w:rsidRDefault="00D06DA0" w:rsidP="002C1F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D06DA0" w:rsidRDefault="00D06DA0" w:rsidP="002C1F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переданное на подпись заключение</w:t>
      </w:r>
      <w:proofErr w:type="gramStart"/>
      <w:r>
        <w:rPr>
          <w:sz w:val="28"/>
          <w:szCs w:val="28"/>
        </w:rPr>
        <w:t>.»</w:t>
      </w:r>
      <w:proofErr w:type="gramEnd"/>
    </w:p>
    <w:p w:rsidR="00D06DA0" w:rsidRPr="00807397" w:rsidRDefault="00D06DA0" w:rsidP="002C1F3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739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7.</w:t>
      </w:r>
      <w:r w:rsidRPr="00807397">
        <w:rPr>
          <w:color w:val="000000"/>
          <w:sz w:val="28"/>
          <w:szCs w:val="28"/>
        </w:rPr>
        <w:t xml:space="preserve"> приложение №</w:t>
      </w:r>
      <w:r>
        <w:rPr>
          <w:color w:val="000000"/>
          <w:sz w:val="28"/>
          <w:szCs w:val="28"/>
        </w:rPr>
        <w:t>3</w:t>
      </w:r>
      <w:r w:rsidRPr="00807397">
        <w:rPr>
          <w:color w:val="000000"/>
          <w:sz w:val="28"/>
          <w:szCs w:val="28"/>
        </w:rPr>
        <w:t xml:space="preserve"> к Административному регламенту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признать утратившим силу;</w:t>
      </w:r>
    </w:p>
    <w:p w:rsidR="00D06DA0" w:rsidRPr="00807397" w:rsidRDefault="00D06DA0" w:rsidP="002C1F36">
      <w:pPr>
        <w:ind w:firstLine="708"/>
        <w:contextualSpacing/>
        <w:jc w:val="both"/>
        <w:rPr>
          <w:bCs/>
          <w:color w:val="000000"/>
          <w:sz w:val="28"/>
          <w:szCs w:val="28"/>
        </w:rPr>
      </w:pPr>
      <w:r w:rsidRPr="0080739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8</w:t>
      </w:r>
      <w:r w:rsidRPr="00807397">
        <w:rPr>
          <w:color w:val="000000"/>
          <w:sz w:val="28"/>
          <w:szCs w:val="28"/>
        </w:rPr>
        <w:t>. приложение к настоящему постановлению считать приложением №</w:t>
      </w:r>
      <w:r>
        <w:rPr>
          <w:color w:val="000000"/>
          <w:sz w:val="28"/>
          <w:szCs w:val="28"/>
        </w:rPr>
        <w:t>3</w:t>
      </w:r>
      <w:r w:rsidRPr="00807397">
        <w:rPr>
          <w:color w:val="000000"/>
          <w:sz w:val="28"/>
          <w:szCs w:val="28"/>
        </w:rPr>
        <w:t xml:space="preserve"> к Административному регламенту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утвержденному постановлением Исполнительного комитета </w:t>
      </w:r>
      <w:r w:rsidR="00717C00">
        <w:rPr>
          <w:color w:val="000000"/>
          <w:sz w:val="28"/>
          <w:szCs w:val="28"/>
        </w:rPr>
        <w:t xml:space="preserve">Актанышского муниципального района РТ </w:t>
      </w:r>
      <w:r w:rsidRPr="00807397">
        <w:rPr>
          <w:color w:val="000000"/>
          <w:sz w:val="28"/>
          <w:szCs w:val="28"/>
        </w:rPr>
        <w:t>от 0</w:t>
      </w:r>
      <w:r w:rsidR="00717C00">
        <w:rPr>
          <w:color w:val="000000"/>
          <w:sz w:val="28"/>
          <w:szCs w:val="28"/>
        </w:rPr>
        <w:t>4.03</w:t>
      </w:r>
      <w:r w:rsidRPr="00807397">
        <w:rPr>
          <w:color w:val="000000"/>
          <w:sz w:val="28"/>
          <w:szCs w:val="28"/>
        </w:rPr>
        <w:t>.2014 №</w:t>
      </w:r>
      <w:r w:rsidR="00717C00">
        <w:rPr>
          <w:color w:val="000000"/>
          <w:sz w:val="28"/>
          <w:szCs w:val="28"/>
        </w:rPr>
        <w:t>ПР-141</w:t>
      </w:r>
      <w:r w:rsidRPr="00807397">
        <w:rPr>
          <w:color w:val="000000"/>
          <w:sz w:val="28"/>
          <w:szCs w:val="28"/>
        </w:rPr>
        <w:t>.</w:t>
      </w:r>
    </w:p>
    <w:p w:rsidR="00D06DA0" w:rsidRPr="00807397" w:rsidRDefault="00D06DA0" w:rsidP="002C1F36">
      <w:pPr>
        <w:pStyle w:val="31"/>
        <w:spacing w:line="240" w:lineRule="auto"/>
        <w:ind w:firstLine="709"/>
        <w:contextualSpacing/>
        <w:rPr>
          <w:color w:val="000000"/>
          <w:sz w:val="28"/>
          <w:szCs w:val="28"/>
        </w:rPr>
      </w:pPr>
      <w:r w:rsidRPr="00807397">
        <w:rPr>
          <w:bCs/>
          <w:color w:val="000000"/>
          <w:sz w:val="28"/>
          <w:szCs w:val="28"/>
        </w:rPr>
        <w:t xml:space="preserve">2. </w:t>
      </w:r>
      <w:r w:rsidR="00785A03">
        <w:rPr>
          <w:bCs/>
          <w:color w:val="000000"/>
          <w:sz w:val="28"/>
          <w:szCs w:val="28"/>
          <w:lang w:val="ru-RU"/>
        </w:rPr>
        <w:t>Отделу информатизации Исполнительного комитета Актанышского муниципального района обеспечить размещение в информационно-телекоммуникационной сети «Интернет» на официальном сайте Актанышского муниципального района.</w:t>
      </w:r>
    </w:p>
    <w:p w:rsidR="00D06DA0" w:rsidRDefault="00D06DA0" w:rsidP="002C1F36">
      <w:pPr>
        <w:pStyle w:val="31"/>
        <w:tabs>
          <w:tab w:val="left" w:pos="4536"/>
          <w:tab w:val="left" w:pos="4820"/>
          <w:tab w:val="left" w:pos="4962"/>
        </w:tabs>
        <w:spacing w:line="240" w:lineRule="auto"/>
        <w:ind w:firstLine="709"/>
        <w:contextualSpacing/>
        <w:rPr>
          <w:color w:val="000000"/>
          <w:sz w:val="28"/>
          <w:szCs w:val="28"/>
          <w:lang w:val="ru-RU"/>
        </w:rPr>
      </w:pPr>
      <w:r w:rsidRPr="00807397">
        <w:rPr>
          <w:color w:val="000000"/>
          <w:sz w:val="28"/>
          <w:szCs w:val="28"/>
        </w:rPr>
        <w:t xml:space="preserve">3. Контроль за исполнением настоящего </w:t>
      </w:r>
      <w:r w:rsidRPr="00807397">
        <w:rPr>
          <w:color w:val="000000"/>
          <w:sz w:val="28"/>
          <w:szCs w:val="28"/>
          <w:lang w:val="ru-RU"/>
        </w:rPr>
        <w:t>постановления</w:t>
      </w:r>
      <w:r w:rsidRPr="00807397">
        <w:rPr>
          <w:color w:val="000000"/>
          <w:sz w:val="28"/>
          <w:szCs w:val="28"/>
        </w:rPr>
        <w:t xml:space="preserve"> возложить на   </w:t>
      </w:r>
      <w:r w:rsidRPr="00807397">
        <w:rPr>
          <w:color w:val="000000"/>
          <w:sz w:val="28"/>
          <w:szCs w:val="28"/>
          <w:lang w:val="ru-RU"/>
        </w:rPr>
        <w:t>заместителя Руководителя Исполнительного комитета</w:t>
      </w:r>
      <w:r w:rsidR="00785A03">
        <w:rPr>
          <w:color w:val="000000"/>
          <w:sz w:val="28"/>
          <w:szCs w:val="28"/>
          <w:lang w:val="ru-RU"/>
        </w:rPr>
        <w:t xml:space="preserve"> Актанышского муниципального района по инфраструктурному развитию Гарипова Р.И.  </w:t>
      </w:r>
    </w:p>
    <w:p w:rsidR="002C1F36" w:rsidRDefault="002C1F36" w:rsidP="002C1F36">
      <w:pPr>
        <w:pStyle w:val="31"/>
        <w:tabs>
          <w:tab w:val="left" w:pos="4536"/>
          <w:tab w:val="left" w:pos="4820"/>
          <w:tab w:val="left" w:pos="4962"/>
        </w:tabs>
        <w:spacing w:line="240" w:lineRule="auto"/>
        <w:ind w:firstLine="709"/>
        <w:contextualSpacing/>
        <w:rPr>
          <w:color w:val="000000"/>
          <w:sz w:val="28"/>
          <w:szCs w:val="28"/>
          <w:lang w:val="ru-RU"/>
        </w:rPr>
      </w:pPr>
    </w:p>
    <w:p w:rsidR="002C1F36" w:rsidRPr="00807397" w:rsidRDefault="002C1F36" w:rsidP="002C1F36">
      <w:pPr>
        <w:pStyle w:val="31"/>
        <w:tabs>
          <w:tab w:val="left" w:pos="4536"/>
          <w:tab w:val="left" w:pos="4820"/>
          <w:tab w:val="left" w:pos="4962"/>
        </w:tabs>
        <w:spacing w:line="240" w:lineRule="auto"/>
        <w:ind w:firstLine="709"/>
        <w:contextualSpacing/>
        <w:rPr>
          <w:color w:val="000000"/>
          <w:sz w:val="28"/>
          <w:szCs w:val="28"/>
        </w:rPr>
      </w:pPr>
    </w:p>
    <w:p w:rsidR="00127EF1" w:rsidRDefault="00D06DA0" w:rsidP="002C1F36">
      <w:pPr>
        <w:pStyle w:val="31"/>
        <w:spacing w:line="240" w:lineRule="auto"/>
        <w:ind w:firstLine="0"/>
        <w:contextualSpacing/>
        <w:rPr>
          <w:sz w:val="28"/>
          <w:szCs w:val="28"/>
          <w:lang w:val="ru-RU"/>
        </w:rPr>
      </w:pPr>
      <w:r w:rsidRPr="00851AA7">
        <w:rPr>
          <w:sz w:val="28"/>
          <w:szCs w:val="28"/>
        </w:rPr>
        <w:t xml:space="preserve">                                                                                                         </w:t>
      </w:r>
      <w:r w:rsidRPr="00851AA7">
        <w:rPr>
          <w:sz w:val="28"/>
          <w:szCs w:val="28"/>
          <w:lang w:val="ru-RU"/>
        </w:rPr>
        <w:t xml:space="preserve">                     </w:t>
      </w:r>
      <w:r w:rsidRPr="00785A03">
        <w:rPr>
          <w:sz w:val="28"/>
          <w:szCs w:val="28"/>
          <w:lang w:val="ru-RU"/>
        </w:rPr>
        <w:t xml:space="preserve">Руководитель </w:t>
      </w:r>
    </w:p>
    <w:p w:rsidR="00D06DA0" w:rsidRPr="00785A03" w:rsidRDefault="00127EF1" w:rsidP="002C1F36">
      <w:pPr>
        <w:pStyle w:val="31"/>
        <w:spacing w:line="240" w:lineRule="auto"/>
        <w:ind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Исполнительного </w:t>
      </w:r>
      <w:r w:rsidR="00785A03">
        <w:rPr>
          <w:sz w:val="28"/>
          <w:szCs w:val="28"/>
          <w:lang w:val="ru-RU"/>
        </w:rPr>
        <w:t xml:space="preserve">комитета                                                     </w:t>
      </w:r>
      <w:r>
        <w:rPr>
          <w:sz w:val="28"/>
          <w:szCs w:val="28"/>
          <w:lang w:val="ru-RU"/>
        </w:rPr>
        <w:t xml:space="preserve">          </w:t>
      </w:r>
      <w:proofErr w:type="spellStart"/>
      <w:r w:rsidR="00785A03">
        <w:rPr>
          <w:sz w:val="28"/>
          <w:szCs w:val="28"/>
          <w:lang w:val="ru-RU"/>
        </w:rPr>
        <w:t>И.Э.Фаттахов</w:t>
      </w:r>
      <w:proofErr w:type="spellEnd"/>
      <w:r w:rsidR="00D06DA0" w:rsidRPr="00785A03">
        <w:rPr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D06DA0" w:rsidRDefault="00785A03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D06DA0" w:rsidRDefault="00D06DA0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D06DA0" w:rsidRDefault="00D06DA0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D06DA0" w:rsidRDefault="00D06DA0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D06DA0" w:rsidRDefault="00D06DA0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D06DA0" w:rsidRDefault="00D06DA0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D06DA0" w:rsidRDefault="00D06DA0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D06DA0" w:rsidRDefault="00D06DA0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D06DA0" w:rsidRDefault="00D06DA0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D06DA0" w:rsidRDefault="00D06DA0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2C1F36" w:rsidRDefault="002C1F36" w:rsidP="002C1F36">
      <w:pPr>
        <w:pStyle w:val="31"/>
        <w:spacing w:line="240" w:lineRule="auto"/>
        <w:ind w:firstLine="0"/>
        <w:contextualSpacing/>
        <w:rPr>
          <w:b/>
          <w:sz w:val="28"/>
          <w:szCs w:val="28"/>
          <w:lang w:val="ru-RU"/>
        </w:rPr>
      </w:pPr>
    </w:p>
    <w:p w:rsidR="00D06DA0" w:rsidRPr="002C1F36" w:rsidRDefault="00D06DA0" w:rsidP="002C1F36">
      <w:pPr>
        <w:ind w:left="5551"/>
        <w:rPr>
          <w:sz w:val="24"/>
          <w:szCs w:val="24"/>
        </w:rPr>
      </w:pPr>
      <w:r w:rsidRPr="002C1F36">
        <w:rPr>
          <w:sz w:val="24"/>
          <w:szCs w:val="24"/>
        </w:rPr>
        <w:t xml:space="preserve">Приложение </w:t>
      </w:r>
      <w:r w:rsidRPr="002C1F36">
        <w:rPr>
          <w:sz w:val="24"/>
          <w:szCs w:val="24"/>
        </w:rPr>
        <w:br/>
        <w:t>к постановлению</w:t>
      </w:r>
      <w:r w:rsidR="00EC392F" w:rsidRPr="002C1F36">
        <w:rPr>
          <w:sz w:val="24"/>
          <w:szCs w:val="24"/>
        </w:rPr>
        <w:t xml:space="preserve"> Руководителя</w:t>
      </w:r>
      <w:r w:rsidRPr="002C1F36">
        <w:rPr>
          <w:sz w:val="24"/>
          <w:szCs w:val="24"/>
        </w:rPr>
        <w:t xml:space="preserve"> Исполнительного комитета</w:t>
      </w:r>
      <w:r w:rsidRPr="002C1F36">
        <w:rPr>
          <w:sz w:val="24"/>
          <w:szCs w:val="24"/>
        </w:rPr>
        <w:br/>
        <w:t>от</w:t>
      </w:r>
      <w:r w:rsidR="00EC392F" w:rsidRPr="002C1F36">
        <w:rPr>
          <w:sz w:val="24"/>
          <w:szCs w:val="24"/>
        </w:rPr>
        <w:t xml:space="preserve"> «___» мая 2015г.</w:t>
      </w:r>
      <w:r w:rsidRPr="002C1F36">
        <w:rPr>
          <w:sz w:val="24"/>
          <w:szCs w:val="24"/>
        </w:rPr>
        <w:t xml:space="preserve"> № </w:t>
      </w:r>
      <w:r w:rsidR="00EC392F" w:rsidRPr="002C1F36">
        <w:rPr>
          <w:sz w:val="24"/>
          <w:szCs w:val="24"/>
        </w:rPr>
        <w:t>_____</w:t>
      </w:r>
    </w:p>
    <w:p w:rsidR="00D06DA0" w:rsidRDefault="00D06DA0" w:rsidP="00D06DA0">
      <w:pPr>
        <w:spacing w:before="60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</w:p>
    <w:p w:rsidR="00D06DA0" w:rsidRDefault="00D06DA0" w:rsidP="00D06DA0">
      <w:pPr>
        <w:spacing w:after="480"/>
        <w:ind w:firstLine="539"/>
        <w:jc w:val="center"/>
      </w:pPr>
      <w:proofErr w:type="gramStart"/>
      <w:r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>
        <w:rPr>
          <w:snapToGrid w:val="0"/>
          <w:sz w:val="26"/>
          <w:szCs w:val="26"/>
        </w:rPr>
        <w:br/>
        <w:t xml:space="preserve">жилого помещения непригодным для проживания и многоквартирного дома </w:t>
      </w:r>
      <w:r>
        <w:rPr>
          <w:snapToGrid w:val="0"/>
          <w:sz w:val="26"/>
          <w:szCs w:val="26"/>
        </w:rPr>
        <w:br/>
        <w:t>аварийным и подлежащим сносу или реконструкции</w:t>
      </w:r>
      <w:proofErr w:type="gramEnd"/>
    </w:p>
    <w:tbl>
      <w:tblPr>
        <w:tblW w:w="966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3747"/>
        <w:gridCol w:w="1418"/>
        <w:gridCol w:w="4110"/>
      </w:tblGrid>
      <w:tr w:rsidR="00D06DA0" w:rsidTr="002C1F36"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DA0" w:rsidRDefault="00D06DA0" w:rsidP="004C53B6">
            <w:r>
              <w:t>№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DA0" w:rsidRDefault="00D06DA0" w:rsidP="004C53B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DA0" w:rsidRDefault="00D06DA0" w:rsidP="004C53B6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DA0" w:rsidRDefault="00D06DA0" w:rsidP="004C53B6">
            <w:pPr>
              <w:jc w:val="center"/>
            </w:pPr>
          </w:p>
        </w:tc>
      </w:tr>
      <w:tr w:rsidR="00D06DA0" w:rsidTr="002C1F36"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06DA0" w:rsidRDefault="00D06DA0" w:rsidP="004C53B6"/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D06DA0" w:rsidRDefault="00D06DA0" w:rsidP="004C53B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6DA0" w:rsidRDefault="00D06DA0" w:rsidP="004C53B6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06DA0" w:rsidRDefault="00D06DA0" w:rsidP="004C53B6">
            <w:pPr>
              <w:jc w:val="center"/>
            </w:pPr>
            <w:r>
              <w:t>(дата)</w:t>
            </w:r>
          </w:p>
        </w:tc>
      </w:tr>
    </w:tbl>
    <w:p w:rsidR="00D06DA0" w:rsidRDefault="00D06DA0" w:rsidP="00D06DA0">
      <w:pPr>
        <w:spacing w:before="240"/>
      </w:pPr>
    </w:p>
    <w:p w:rsidR="00D06DA0" w:rsidRDefault="00D06DA0" w:rsidP="00D06DA0">
      <w:pPr>
        <w:pBdr>
          <w:top w:val="single" w:sz="4" w:space="1" w:color="auto"/>
        </w:pBdr>
        <w:jc w:val="center"/>
      </w:pPr>
      <w:r>
        <w:t>(месторасположение помещения, в том числе наименования населенного пункта и улицы, номера дома и квартиры)</w:t>
      </w:r>
    </w:p>
    <w:p w:rsidR="00D06DA0" w:rsidRDefault="00D06DA0" w:rsidP="00D06DA0">
      <w:pPr>
        <w:spacing w:before="120"/>
        <w:ind w:firstLine="567"/>
      </w:pPr>
      <w:r>
        <w:t xml:space="preserve">Межведомственная комиссия, назначенная  </w:t>
      </w:r>
    </w:p>
    <w:p w:rsidR="00D06DA0" w:rsidRDefault="00D06DA0" w:rsidP="00D06DA0">
      <w:pPr>
        <w:pBdr>
          <w:top w:val="single" w:sz="4" w:space="1" w:color="auto"/>
        </w:pBdr>
        <w:ind w:left="5103"/>
        <w:jc w:val="center"/>
      </w:pPr>
      <w:proofErr w:type="gramStart"/>
      <w:r>
        <w:t xml:space="preserve">(кем назначена, наименование федерального органа </w:t>
      </w:r>
      <w:proofErr w:type="gramEnd"/>
    </w:p>
    <w:p w:rsidR="00D06DA0" w:rsidRDefault="00D06DA0" w:rsidP="00D06DA0">
      <w:pPr>
        <w:tabs>
          <w:tab w:val="right" w:pos="10205"/>
        </w:tabs>
      </w:pPr>
      <w:r>
        <w:tab/>
        <w:t>,</w:t>
      </w:r>
    </w:p>
    <w:p w:rsidR="00D06DA0" w:rsidRDefault="00D06DA0" w:rsidP="00D06DA0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D06DA0" w:rsidRDefault="00D06DA0" w:rsidP="00D06DA0">
      <w:r>
        <w:t xml:space="preserve">в составе председателя  </w:t>
      </w:r>
    </w:p>
    <w:p w:rsidR="00D06DA0" w:rsidRDefault="00D06DA0" w:rsidP="00D06DA0">
      <w:pPr>
        <w:pBdr>
          <w:top w:val="single" w:sz="4" w:space="1" w:color="auto"/>
        </w:pBdr>
        <w:ind w:left="2460"/>
        <w:jc w:val="center"/>
      </w:pPr>
      <w:r>
        <w:t>(Ф.И.О., занимаемая должность и место работы)</w:t>
      </w:r>
    </w:p>
    <w:p w:rsidR="00D06DA0" w:rsidRDefault="00D06DA0" w:rsidP="00D06DA0"/>
    <w:p w:rsidR="00D06DA0" w:rsidRDefault="00D06DA0" w:rsidP="00D06DA0">
      <w:pPr>
        <w:pBdr>
          <w:top w:val="single" w:sz="4" w:space="1" w:color="auto"/>
        </w:pBdr>
        <w:rPr>
          <w:sz w:val="2"/>
          <w:szCs w:val="2"/>
        </w:rPr>
      </w:pPr>
    </w:p>
    <w:p w:rsidR="00D06DA0" w:rsidRDefault="00D06DA0" w:rsidP="00D06DA0">
      <w:r>
        <w:t xml:space="preserve">и членов комиссии  </w:t>
      </w:r>
    </w:p>
    <w:p w:rsidR="00D06DA0" w:rsidRDefault="00D06DA0" w:rsidP="00D06DA0">
      <w:pPr>
        <w:pBdr>
          <w:top w:val="single" w:sz="4" w:space="1" w:color="auto"/>
        </w:pBdr>
        <w:ind w:left="2069"/>
        <w:jc w:val="center"/>
      </w:pPr>
      <w:r>
        <w:t>(Ф.И.О., занимаемая должность и место работы)</w:t>
      </w:r>
    </w:p>
    <w:p w:rsidR="00D06DA0" w:rsidRDefault="00D06DA0" w:rsidP="00D06DA0">
      <w:r>
        <w:t xml:space="preserve">при участии приглашенных экспертов  </w:t>
      </w:r>
    </w:p>
    <w:p w:rsidR="00D06DA0" w:rsidRDefault="00D06DA0" w:rsidP="00D06DA0">
      <w:pPr>
        <w:pBdr>
          <w:top w:val="single" w:sz="4" w:space="1" w:color="auto"/>
        </w:pBdr>
        <w:ind w:left="4025"/>
        <w:jc w:val="center"/>
      </w:pPr>
      <w:r>
        <w:t>(Ф.И.О., занимаемая должность и место работы)</w:t>
      </w:r>
    </w:p>
    <w:p w:rsidR="00D06DA0" w:rsidRDefault="00D06DA0" w:rsidP="00D06DA0"/>
    <w:p w:rsidR="00D06DA0" w:rsidRDefault="00D06DA0" w:rsidP="00D06DA0">
      <w:pPr>
        <w:pBdr>
          <w:top w:val="single" w:sz="4" w:space="1" w:color="auto"/>
        </w:pBdr>
        <w:rPr>
          <w:sz w:val="2"/>
          <w:szCs w:val="2"/>
        </w:rPr>
      </w:pPr>
    </w:p>
    <w:p w:rsidR="00D06DA0" w:rsidRDefault="00D06DA0" w:rsidP="00D06DA0"/>
    <w:p w:rsidR="00D06DA0" w:rsidRDefault="00D06DA0" w:rsidP="00D06DA0">
      <w:pPr>
        <w:pBdr>
          <w:top w:val="single" w:sz="4" w:space="1" w:color="auto"/>
        </w:pBdr>
        <w:rPr>
          <w:sz w:val="2"/>
          <w:szCs w:val="2"/>
        </w:rPr>
      </w:pPr>
    </w:p>
    <w:p w:rsidR="00D06DA0" w:rsidRDefault="00D06DA0" w:rsidP="00D06DA0">
      <w:r>
        <w:t xml:space="preserve">и приглашенного собственника помещения или уполномоченного им лица  </w:t>
      </w:r>
    </w:p>
    <w:p w:rsidR="00D06DA0" w:rsidRDefault="00D06DA0" w:rsidP="00D06DA0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D06DA0" w:rsidRDefault="00D06DA0" w:rsidP="00D06DA0"/>
    <w:p w:rsidR="00D06DA0" w:rsidRDefault="00D06DA0" w:rsidP="00D06DA0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D06DA0" w:rsidRDefault="00D06DA0" w:rsidP="00D06DA0">
      <w:r>
        <w:t xml:space="preserve">по результатам рассмотренных документов  </w:t>
      </w:r>
    </w:p>
    <w:p w:rsidR="00D06DA0" w:rsidRDefault="00D06DA0" w:rsidP="00D06DA0">
      <w:pPr>
        <w:pBdr>
          <w:top w:val="single" w:sz="4" w:space="1" w:color="auto"/>
        </w:pBdr>
        <w:ind w:left="4564"/>
        <w:jc w:val="center"/>
      </w:pPr>
      <w:r>
        <w:t>(приводится перечень документов)</w:t>
      </w:r>
    </w:p>
    <w:p w:rsidR="00D06DA0" w:rsidRDefault="00D06DA0" w:rsidP="00D06DA0"/>
    <w:p w:rsidR="00D06DA0" w:rsidRDefault="00D06DA0" w:rsidP="00D06DA0">
      <w:pPr>
        <w:pBdr>
          <w:top w:val="single" w:sz="4" w:space="1" w:color="auto"/>
        </w:pBdr>
        <w:rPr>
          <w:sz w:val="2"/>
          <w:szCs w:val="2"/>
        </w:rPr>
      </w:pPr>
    </w:p>
    <w:p w:rsidR="00D06DA0" w:rsidRPr="00691AE1" w:rsidRDefault="00D06DA0" w:rsidP="00D06DA0">
      <w:pPr>
        <w:jc w:val="both"/>
        <w:rPr>
          <w:sz w:val="2"/>
          <w:szCs w:val="2"/>
        </w:rPr>
      </w:pPr>
      <w:r>
        <w:t>и на основании акта межведомственной комиссии, составленного по результатам обследования,</w:t>
      </w:r>
      <w:r w:rsidRPr="00691AE1">
        <w:br/>
      </w:r>
    </w:p>
    <w:p w:rsidR="00D06DA0" w:rsidRDefault="00D06DA0" w:rsidP="00D06DA0"/>
    <w:p w:rsidR="00D06DA0" w:rsidRDefault="00D06DA0" w:rsidP="00D06DA0">
      <w:pPr>
        <w:pBdr>
          <w:top w:val="single" w:sz="4" w:space="1" w:color="auto"/>
        </w:pBdr>
        <w:jc w:val="center"/>
      </w:pPr>
      <w:proofErr w:type="gramStart"/>
      <w:r>
        <w:t>(приводится заключение, взятое из акта обследования (в случае проведения обследования), или указывается,</w:t>
      </w:r>
      <w:proofErr w:type="gramEnd"/>
    </w:p>
    <w:p w:rsidR="00D06DA0" w:rsidRDefault="00D06DA0" w:rsidP="00D06DA0"/>
    <w:p w:rsidR="00D06DA0" w:rsidRDefault="00D06DA0" w:rsidP="00D06DA0">
      <w:pPr>
        <w:pBdr>
          <w:top w:val="single" w:sz="4" w:space="1" w:color="auto"/>
        </w:pBdr>
        <w:jc w:val="center"/>
      </w:pPr>
      <w:r>
        <w:t>что на основании решения межведомственной комиссии обследование не проводилось)</w:t>
      </w:r>
    </w:p>
    <w:p w:rsidR="00D06DA0" w:rsidRDefault="00D06DA0" w:rsidP="00D06DA0"/>
    <w:p w:rsidR="00D06DA0" w:rsidRDefault="00D06DA0" w:rsidP="00D06DA0">
      <w:pPr>
        <w:pBdr>
          <w:top w:val="single" w:sz="4" w:space="1" w:color="auto"/>
        </w:pBdr>
        <w:rPr>
          <w:sz w:val="2"/>
          <w:szCs w:val="2"/>
        </w:rPr>
      </w:pPr>
    </w:p>
    <w:p w:rsidR="00D06DA0" w:rsidRDefault="00D06DA0" w:rsidP="00D06DA0"/>
    <w:p w:rsidR="00D06DA0" w:rsidRDefault="00D06DA0" w:rsidP="00D06DA0">
      <w:pPr>
        <w:pBdr>
          <w:top w:val="single" w:sz="4" w:space="1" w:color="auto"/>
        </w:pBdr>
        <w:rPr>
          <w:sz w:val="2"/>
          <w:szCs w:val="2"/>
        </w:rPr>
      </w:pPr>
    </w:p>
    <w:p w:rsidR="00D06DA0" w:rsidRDefault="00D06DA0" w:rsidP="00D06DA0"/>
    <w:p w:rsidR="00D06DA0" w:rsidRDefault="00D06DA0" w:rsidP="00D06DA0">
      <w:pPr>
        <w:pBdr>
          <w:top w:val="single" w:sz="4" w:space="1" w:color="auto"/>
        </w:pBdr>
        <w:rPr>
          <w:sz w:val="2"/>
          <w:szCs w:val="2"/>
        </w:rPr>
      </w:pPr>
    </w:p>
    <w:p w:rsidR="00D06DA0" w:rsidRDefault="00D06DA0" w:rsidP="00D06DA0">
      <w:r>
        <w:t xml:space="preserve">приняла заключение о  </w:t>
      </w:r>
    </w:p>
    <w:p w:rsidR="00D06DA0" w:rsidRDefault="00D06DA0" w:rsidP="00D06DA0">
      <w:pPr>
        <w:pBdr>
          <w:top w:val="single" w:sz="4" w:space="1" w:color="auto"/>
        </w:pBdr>
        <w:ind w:left="2410"/>
        <w:jc w:val="center"/>
      </w:pPr>
      <w:proofErr w:type="gramStart"/>
      <w:r>
        <w:t>(приводится обоснование принятого межведомственной комиссией заключения</w:t>
      </w:r>
      <w:proofErr w:type="gramEnd"/>
    </w:p>
    <w:p w:rsidR="00D06DA0" w:rsidRDefault="00D06DA0" w:rsidP="00D06DA0"/>
    <w:p w:rsidR="00D06DA0" w:rsidRDefault="00D06DA0" w:rsidP="00D06DA0">
      <w:pPr>
        <w:pBdr>
          <w:top w:val="single" w:sz="4" w:space="1" w:color="auto"/>
        </w:pBdr>
        <w:jc w:val="center"/>
      </w:pPr>
      <w:r>
        <w:rPr>
          <w:snapToGrid w:val="0"/>
        </w:rPr>
        <w:t>об оценке соответствия помещения (многоквартирного дома) требованиям, установленным</w:t>
      </w:r>
    </w:p>
    <w:p w:rsidR="00D06DA0" w:rsidRDefault="00D06DA0" w:rsidP="00D06DA0"/>
    <w:p w:rsidR="00D06DA0" w:rsidRDefault="00D06DA0" w:rsidP="00D06DA0">
      <w:pPr>
        <w:pBdr>
          <w:top w:val="single" w:sz="4" w:space="1" w:color="auto"/>
        </w:pBdr>
        <w:jc w:val="center"/>
      </w:pPr>
      <w:r>
        <w:rPr>
          <w:snapToGrid w:val="0"/>
        </w:rPr>
        <w:t>в Положении о признании помещения жилым помещением, жилого помещения непригодным для проживания</w:t>
      </w:r>
    </w:p>
    <w:p w:rsidR="00D06DA0" w:rsidRDefault="00D06DA0" w:rsidP="00D06DA0">
      <w:pPr>
        <w:tabs>
          <w:tab w:val="right" w:pos="10205"/>
        </w:tabs>
      </w:pPr>
    </w:p>
    <w:p w:rsidR="00D06DA0" w:rsidRDefault="00D06DA0" w:rsidP="00D06DA0">
      <w:pPr>
        <w:pBdr>
          <w:top w:val="single" w:sz="4" w:space="1" w:color="auto"/>
        </w:pBdr>
        <w:ind w:right="113"/>
        <w:jc w:val="center"/>
      </w:pPr>
      <w:r>
        <w:rPr>
          <w:snapToGrid w:val="0"/>
        </w:rPr>
        <w:t>и многоквартирного дома аварийным и подлежащим сносу или реконструкции)</w:t>
      </w:r>
    </w:p>
    <w:p w:rsidR="00D06DA0" w:rsidRDefault="00D06DA0" w:rsidP="00D06DA0">
      <w:pPr>
        <w:spacing w:before="480"/>
      </w:pPr>
      <w:r>
        <w:t>Приложение к заключению:</w:t>
      </w:r>
    </w:p>
    <w:p w:rsidR="00D06DA0" w:rsidRDefault="00D06DA0" w:rsidP="00D06DA0">
      <w:r>
        <w:t>а) перечень рассмотренных документов;</w:t>
      </w:r>
    </w:p>
    <w:p w:rsidR="00D06DA0" w:rsidRDefault="00D06DA0" w:rsidP="00D06DA0">
      <w:r>
        <w:t>б) акт обследования помещения (в случае проведения обследования);</w:t>
      </w:r>
    </w:p>
    <w:p w:rsidR="00D06DA0" w:rsidRDefault="00D06DA0" w:rsidP="00D06DA0">
      <w:r>
        <w:t>в) перечень других материалов, запрошенных межведомственной комиссией;</w:t>
      </w:r>
    </w:p>
    <w:p w:rsidR="00D06DA0" w:rsidRDefault="00D06DA0" w:rsidP="00D06DA0">
      <w:r>
        <w:t>г) особое мнение членов межведомственной комиссии:</w:t>
      </w:r>
    </w:p>
    <w:p w:rsidR="00D06DA0" w:rsidRDefault="00D06DA0" w:rsidP="00D06DA0">
      <w:pPr>
        <w:tabs>
          <w:tab w:val="right" w:pos="10205"/>
        </w:tabs>
      </w:pPr>
      <w:r>
        <w:tab/>
        <w:t>.</w:t>
      </w:r>
    </w:p>
    <w:p w:rsidR="00D06DA0" w:rsidRDefault="00D06DA0" w:rsidP="00D06DA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06DA0" w:rsidRDefault="00D06DA0" w:rsidP="00D06DA0">
      <w:pPr>
        <w:spacing w:before="480"/>
      </w:pPr>
      <w: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D06DA0" w:rsidTr="004C53B6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DA0" w:rsidRDefault="00D06DA0" w:rsidP="004C53B6">
            <w:pPr>
              <w:ind w:left="-17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DA0" w:rsidRDefault="00D06DA0" w:rsidP="004C53B6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DA0" w:rsidRDefault="00D06DA0" w:rsidP="004C53B6">
            <w:pPr>
              <w:ind w:left="-170"/>
              <w:jc w:val="center"/>
            </w:pPr>
          </w:p>
        </w:tc>
      </w:tr>
      <w:tr w:rsidR="00D06DA0" w:rsidTr="004C53B6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06DA0" w:rsidRDefault="00D06DA0" w:rsidP="004C53B6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6DA0" w:rsidRDefault="00D06DA0" w:rsidP="004C53B6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06DA0" w:rsidRDefault="00D06DA0" w:rsidP="004C53B6">
            <w:pPr>
              <w:ind w:left="-170"/>
              <w:jc w:val="center"/>
            </w:pPr>
            <w:r>
              <w:t>(Ф.И.О.)</w:t>
            </w:r>
          </w:p>
        </w:tc>
      </w:tr>
    </w:tbl>
    <w:p w:rsidR="00D06DA0" w:rsidRDefault="00D06DA0" w:rsidP="00D06DA0">
      <w:pPr>
        <w:spacing w:before="240"/>
      </w:pPr>
      <w: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D06DA0" w:rsidTr="004C53B6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DA0" w:rsidRDefault="00D06DA0" w:rsidP="004C53B6">
            <w:pPr>
              <w:ind w:left="-17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DA0" w:rsidRDefault="00D06DA0" w:rsidP="004C53B6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DA0" w:rsidRDefault="00D06DA0" w:rsidP="004C53B6">
            <w:pPr>
              <w:ind w:left="-170"/>
              <w:jc w:val="center"/>
            </w:pPr>
          </w:p>
        </w:tc>
      </w:tr>
      <w:tr w:rsidR="00D06DA0" w:rsidTr="004C53B6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06DA0" w:rsidRDefault="00D06DA0" w:rsidP="004C53B6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6DA0" w:rsidRDefault="00D06DA0" w:rsidP="004C53B6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06DA0" w:rsidRDefault="00D06DA0" w:rsidP="004C53B6">
            <w:pPr>
              <w:ind w:left="-170"/>
              <w:jc w:val="center"/>
            </w:pPr>
            <w:r>
              <w:t>(Ф.И.О.)</w:t>
            </w:r>
          </w:p>
        </w:tc>
      </w:tr>
    </w:tbl>
    <w:p w:rsidR="00D06DA0" w:rsidRDefault="00D06DA0" w:rsidP="00D06DA0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D06DA0" w:rsidTr="004C53B6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DA0" w:rsidRDefault="00D06DA0" w:rsidP="004C53B6">
            <w:pPr>
              <w:ind w:left="-17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DA0" w:rsidRDefault="00D06DA0" w:rsidP="004C53B6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6DA0" w:rsidRDefault="00D06DA0" w:rsidP="004C53B6">
            <w:pPr>
              <w:ind w:left="-170"/>
              <w:jc w:val="center"/>
            </w:pPr>
          </w:p>
        </w:tc>
      </w:tr>
      <w:tr w:rsidR="00D06DA0" w:rsidTr="004C53B6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06DA0" w:rsidRDefault="00D06DA0" w:rsidP="004C53B6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06DA0" w:rsidRDefault="00D06DA0" w:rsidP="004C53B6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06DA0" w:rsidRDefault="00D06DA0" w:rsidP="004C53B6">
            <w:pPr>
              <w:ind w:left="-170"/>
              <w:jc w:val="center"/>
            </w:pPr>
            <w:r>
              <w:t>(Ф.И.О.)</w:t>
            </w:r>
          </w:p>
        </w:tc>
      </w:tr>
    </w:tbl>
    <w:p w:rsidR="00D06DA0" w:rsidRDefault="00D06DA0" w:rsidP="00D06DA0">
      <w:pPr>
        <w:widowControl w:val="0"/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D06DA0" w:rsidRDefault="00D06DA0" w:rsidP="00D06DA0">
      <w:pPr>
        <w:jc w:val="center"/>
      </w:pPr>
    </w:p>
    <w:sectPr w:rsidR="00D06DA0" w:rsidSect="002C1F36">
      <w:pgSz w:w="11906" w:h="16838"/>
      <w:pgMar w:top="993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2472"/>
    <w:multiLevelType w:val="multilevel"/>
    <w:tmpl w:val="24DA29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D5"/>
    <w:rsid w:val="000B159F"/>
    <w:rsid w:val="00127EF1"/>
    <w:rsid w:val="002C1F36"/>
    <w:rsid w:val="004355E1"/>
    <w:rsid w:val="004D246C"/>
    <w:rsid w:val="00717C00"/>
    <w:rsid w:val="00785A03"/>
    <w:rsid w:val="007C1AD5"/>
    <w:rsid w:val="009B57D4"/>
    <w:rsid w:val="00D06DA0"/>
    <w:rsid w:val="00EC392F"/>
    <w:rsid w:val="00E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06DA0"/>
    <w:pPr>
      <w:keepNext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06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6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DA0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D06DA0"/>
    <w:pPr>
      <w:spacing w:line="336" w:lineRule="auto"/>
      <w:ind w:firstLine="720"/>
      <w:jc w:val="both"/>
    </w:pPr>
    <w:rPr>
      <w:sz w:val="30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D06DA0"/>
    <w:rPr>
      <w:rFonts w:ascii="Times New Roman" w:eastAsia="Times New Roman" w:hAnsi="Times New Roman" w:cs="Times New Roman"/>
      <w:sz w:val="30"/>
      <w:szCs w:val="24"/>
      <w:lang w:val="x-none" w:eastAsia="ru-RU"/>
    </w:rPr>
  </w:style>
  <w:style w:type="paragraph" w:styleId="a5">
    <w:name w:val="Block Text"/>
    <w:basedOn w:val="a"/>
    <w:rsid w:val="00D06DA0"/>
    <w:pPr>
      <w:spacing w:line="336" w:lineRule="auto"/>
      <w:ind w:left="1080" w:right="1435"/>
      <w:jc w:val="center"/>
    </w:pPr>
    <w:rPr>
      <w:b/>
      <w:sz w:val="30"/>
      <w:szCs w:val="30"/>
    </w:rPr>
  </w:style>
  <w:style w:type="paragraph" w:styleId="a6">
    <w:name w:val="List Paragraph"/>
    <w:basedOn w:val="a"/>
    <w:uiPriority w:val="34"/>
    <w:qFormat/>
    <w:rsid w:val="00D06DA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15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06DA0"/>
    <w:pPr>
      <w:keepNext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06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6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DA0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D06DA0"/>
    <w:pPr>
      <w:spacing w:line="336" w:lineRule="auto"/>
      <w:ind w:firstLine="720"/>
      <w:jc w:val="both"/>
    </w:pPr>
    <w:rPr>
      <w:sz w:val="30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D06DA0"/>
    <w:rPr>
      <w:rFonts w:ascii="Times New Roman" w:eastAsia="Times New Roman" w:hAnsi="Times New Roman" w:cs="Times New Roman"/>
      <w:sz w:val="30"/>
      <w:szCs w:val="24"/>
      <w:lang w:val="x-none" w:eastAsia="ru-RU"/>
    </w:rPr>
  </w:style>
  <w:style w:type="paragraph" w:styleId="a5">
    <w:name w:val="Block Text"/>
    <w:basedOn w:val="a"/>
    <w:rsid w:val="00D06DA0"/>
    <w:pPr>
      <w:spacing w:line="336" w:lineRule="auto"/>
      <w:ind w:left="1080" w:right="1435"/>
      <w:jc w:val="center"/>
    </w:pPr>
    <w:rPr>
      <w:b/>
      <w:sz w:val="30"/>
      <w:szCs w:val="30"/>
    </w:rPr>
  </w:style>
  <w:style w:type="paragraph" w:styleId="a6">
    <w:name w:val="List Paragraph"/>
    <w:basedOn w:val="a"/>
    <w:uiPriority w:val="34"/>
    <w:qFormat/>
    <w:rsid w:val="00D06DA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1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5CFE413C93544D0CE353109D8D869E89A0147D11B5DDC8336766C637158B0AF01D1E8E83864112a409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Специолист</dc:creator>
  <cp:keywords/>
  <dc:description/>
  <cp:lastModifiedBy>ЧУЛПАН</cp:lastModifiedBy>
  <cp:revision>2</cp:revision>
  <cp:lastPrinted>2015-05-15T12:47:00Z</cp:lastPrinted>
  <dcterms:created xsi:type="dcterms:W3CDTF">2015-05-15T12:47:00Z</dcterms:created>
  <dcterms:modified xsi:type="dcterms:W3CDTF">2015-05-15T12:47:00Z</dcterms:modified>
</cp:coreProperties>
</file>