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4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Toc183693753"/>
      <w:r/>
      <w:bookmarkStart w:id="1" w:name="_Toc184377894"/>
      <w:r/>
      <w:bookmarkStart w:id="2" w:name="_Toc184397049"/>
      <w:r/>
      <w:bookmarkStart w:id="3" w:name="_Toc184461614"/>
      <w:r/>
      <w:bookmarkStart w:id="4" w:name="_Toc183681431"/>
      <w:r/>
      <w:bookmarkStart w:id="5" w:name="_Toc183681575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4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771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договора аренды земельного участка,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20.05.2025 г. № 364-р.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lef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371180</wp:posOffset>
                      </wp:positionH>
                      <wp:positionV relativeFrom="paragraph">
                        <wp:posOffset>-881736</wp:posOffset>
                      </wp:positionV>
                      <wp:extent cx="6219825" cy="0"/>
                      <wp:effectExtent l="4762" t="4762" r="4762" b="4762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21982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4096;mso-wrap-distance-left:9.07pt;mso-wrap-distance-top:0.00pt;mso-wrap-distance-right:9.07pt;mso-wrap-distance-bottom:0.00pt;flip:y;visibility:visible;" from="29.2pt,-69.4pt" to="519.0pt,-69.4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line="240" w:lineRule="auto"/>
              <w:ind/>
              <w:jc w:val="both"/>
              <w:rPr/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1: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категория земель: земли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 сельскохозяйственного назначения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для сельскохозяйственного производства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566242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16:04:160202:1045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Российская Федерация, Республика Татарстан, Актанышский муниципальный район, Татарско-Ямалинское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сельское поселение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</w:r>
            <w:r/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27 738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двадцать семь тысяч семьсот тридцать восемь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50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832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восемьсот тридцать два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16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5 547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пять тысяч пятьсот сорок 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70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находится в муниципальной собственности.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2: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категория земель: земли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 сельскохозяйственного назначения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для сельскохозяйственного производства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753941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16:04:160202:1047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Российская Федерация, Республика Татарстан, Актанышский муниципальный район, Татарско-Суксинское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сельское поселение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36 933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тридцать шесть тысяч девятьсот тридцать три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31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1 108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одна тысяча сто восемь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00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7386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семь тысяч триста восемьдесят шесть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67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государственная собственность на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 разграничена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-50460</wp:posOffset>
                      </wp:positionH>
                      <wp:positionV relativeFrom="paragraph">
                        <wp:posOffset>97860</wp:posOffset>
                      </wp:positionV>
                      <wp:extent cx="6162675" cy="0"/>
                      <wp:effectExtent l="4762" t="4762" r="4762" b="4762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616267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6144;mso-wrap-distance-left:9.07pt;mso-wrap-distance-top:0.00pt;mso-wrap-distance-right:9.07pt;mso-wrap-distance-bottom:0.00pt;visibility:visible;" from="-4.0pt,7.7pt" to="481.3pt,7.7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37"/>
              <w:widowControl w:val="false"/>
              <w:pBdr/>
              <w:spacing w:line="240" w:lineRule="auto"/>
              <w:ind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3: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категория земель: земли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 сельскохозяйственного назначения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для сельскохозяйственного производства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общая площадь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95500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16:04:150302:313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Республика Татарстан, Актанышский муниципальный район, Старосафаровское сельское поселение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6 189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шесть тысяч сто восемьдесят девять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55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185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сто восемьдесят пять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69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1 237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одна тысяча двести тридцать 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91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государственная собственность на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 разграничена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1"/>
                <w:szCs w:val="21"/>
              </w:rPr>
              <w:t xml:space="preserve">Аукцион проводится впервые.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69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  <w:r/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  <w:r/>
            <w:r/>
          </w:p>
        </w:tc>
      </w:tr>
      <w:tr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23  мая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06 июня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09 июня 2025 года.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10 июня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09:00</w:t>
            </w:r>
            <w:r>
              <w:rPr>
                <w:rFonts w:ascii="Tinos" w:hAnsi="Tinos" w:cs="Times New Roman"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часов.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аренды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  <w:t xml:space="preserve">Срок и условия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Не допускается 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"garantF1://890941.25746134"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Победитель аукциона, или иное лицо, с которым заключается договор, обязан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заключ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договор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</w:p>
          <w:p>
            <w:pPr>
              <w:pStyle w:val="737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Если договор аренды земельного участка в </w:t>
            </w:r>
            <w:r>
              <w:rPr>
                <w:sz w:val="22"/>
                <w:szCs w:val="22"/>
                <w:highlight w:val="none"/>
              </w:rPr>
              <w:t xml:space="preserve">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не был подписан победителем аукциона, указанный договор заключ</w:t>
            </w:r>
            <w:r>
              <w:rPr>
                <w:sz w:val="22"/>
                <w:szCs w:val="22"/>
                <w:highlight w:val="none"/>
              </w:rPr>
              <w:t xml:space="preserve">ается с</w:t>
            </w:r>
            <w:r>
              <w:rPr>
                <w:sz w:val="22"/>
                <w:szCs w:val="22"/>
                <w:highlight w:val="none"/>
              </w:rPr>
              <w:t xml:space="preserve"> участник</w:t>
            </w:r>
            <w:r>
              <w:rPr>
                <w:sz w:val="22"/>
                <w:szCs w:val="22"/>
                <w:highlight w:val="none"/>
              </w:rPr>
              <w:t xml:space="preserve">ом</w:t>
            </w:r>
            <w:r>
              <w:rPr>
                <w:sz w:val="22"/>
                <w:szCs w:val="22"/>
                <w:highlight w:val="none"/>
              </w:rPr>
              <w:t xml:space="preserve"> аукциона, который сделал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по цене, предложенной таким участником.</w:t>
            </w:r>
            <w:r>
              <w:rPr>
                <w:sz w:val="22"/>
                <w:szCs w:val="22"/>
                <w:highlight w:val="none"/>
              </w:rPr>
              <w:t xml:space="preserve"> Участник аукциона, сделавший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обязан </w:t>
            </w:r>
            <w:r>
              <w:rPr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заключить договор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Оплата по договору производится в течение 10 (десяти) дней со дня заключения договора купли-продажи земельного участка на счет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03100643000000011100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ЕКС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40102810445370000079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КБК: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17011105013050000120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/>
                <w:sz w:val="21"/>
                <w:szCs w:val="21"/>
              </w:rPr>
              <w:t xml:space="preserve">, ОКТМО: </w:t>
            </w:r>
            <w:r>
              <w:rPr>
                <w:color w:val="000000"/>
                <w:sz w:val="21"/>
                <w:szCs w:val="21"/>
              </w:rPr>
              <w:t xml:space="preserve">92605___</w:t>
            </w:r>
            <w:r>
              <w:rPr>
                <w:rFonts w:ascii="Tinos" w:hAnsi="Tinos"/>
                <w:sz w:val="21"/>
              </w:rPr>
            </w:r>
            <w:r>
              <w:rPr>
                <w:rFonts w:ascii="Tinos" w:hAnsi="Tinos"/>
                <w:sz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договора аренды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участника с условием договора аренды,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аренды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0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1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771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2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  <w:r/>
          </w:p>
        </w:tc>
      </w:tr>
    </w:tbl>
    <w:p>
      <w:pPr>
        <w:pStyle w:val="737"/>
        <w:pBdr/>
        <w:spacing/>
        <w:ind/>
        <w:rPr/>
      </w:pPr>
      <w:r/>
      <w:bookmarkStart w:id="10" w:name="_Toc183693753_Копия_1"/>
      <w:r/>
      <w:bookmarkStart w:id="11" w:name="_Toc184377894_Копия_1"/>
      <w:r/>
      <w:bookmarkStart w:id="12" w:name="_Toc184397049_Копия_1"/>
      <w:r/>
      <w:bookmarkStart w:id="13" w:name="_Toc184461614_Копия_1"/>
      <w:r/>
      <w:bookmarkEnd w:id="10"/>
      <w:r/>
      <w:bookmarkEnd w:id="11"/>
      <w:r/>
      <w:bookmarkEnd w:id="12"/>
      <w:r/>
      <w:bookmarkEnd w:id="13"/>
      <w:r/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7"/>
                            <w:pBdr/>
                            <w:spacing/>
                            <w:ind/>
                            <w:rPr>
                              <w:rStyle w:val="770"/>
                            </w:rPr>
                          </w:pPr>
                          <w:r>
                            <w:rPr>
                              <w:rStyle w:val="77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70"/>
                            </w:rPr>
                          </w:r>
                          <w:r>
                            <w:rPr>
                              <w:rStyle w:val="77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7"/>
                      <w:pBdr/>
                      <w:spacing/>
                      <w:ind/>
                      <w:rPr>
                        <w:rStyle w:val="770"/>
                      </w:rPr>
                    </w:pPr>
                    <w:r>
                      <w:rPr>
                        <w:rStyle w:val="770"/>
                        <w:color w:val="000000"/>
                      </w:rPr>
                      <w:fldChar w:fldCharType="begin"/>
                    </w:r>
                    <w:r>
                      <w:rPr>
                        <w:rStyle w:val="77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70"/>
                        <w:color w:val="000000"/>
                      </w:rPr>
                      <w:fldChar w:fldCharType="separate"/>
                    </w:r>
                    <w:r>
                      <w:rPr>
                        <w:rStyle w:val="770"/>
                        <w:color w:val="000000"/>
                      </w:rPr>
                      <w:t xml:space="preserve">0</w:t>
                    </w:r>
                    <w:r>
                      <w:rPr>
                        <w:rStyle w:val="770"/>
                        <w:color w:val="000000"/>
                      </w:rPr>
                      <w:fldChar w:fldCharType="end"/>
                    </w:r>
                    <w:r>
                      <w:rPr>
                        <w:rStyle w:val="770"/>
                      </w:rPr>
                    </w:r>
                    <w:r>
                      <w:rPr>
                        <w:rStyle w:val="77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49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850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51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864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8">
    <w:name w:val="Heading 1"/>
    <w:basedOn w:val="737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39">
    <w:name w:val="Heading 2"/>
    <w:basedOn w:val="73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0">
    <w:name w:val="Heading 3"/>
    <w:basedOn w:val="737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41">
    <w:name w:val="Heading 4"/>
    <w:basedOn w:val="737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42">
    <w:name w:val="Heading 5"/>
    <w:basedOn w:val="737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43">
    <w:name w:val="Heading 6"/>
    <w:basedOn w:val="737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44">
    <w:name w:val="Heading 7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qFormat/>
    <w:pPr>
      <w:pBdr/>
      <w:spacing w:after="60" w:before="240"/>
      <w:ind/>
      <w:outlineLvl w:val="7"/>
    </w:pPr>
    <w:rPr>
      <w:i/>
      <w:iCs/>
    </w:rPr>
  </w:style>
  <w:style w:type="paragraph" w:styleId="746">
    <w:name w:val="Heading 9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9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57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8">
    <w:name w:val="Quote Char"/>
    <w:uiPriority w:val="29"/>
    <w:qFormat/>
    <w:pPr>
      <w:pBdr/>
      <w:spacing/>
      <w:ind/>
    </w:pPr>
    <w:rPr>
      <w:i/>
    </w:rPr>
  </w:style>
  <w:style w:type="character" w:styleId="759">
    <w:name w:val="Intense Quote Char"/>
    <w:uiPriority w:val="30"/>
    <w:qFormat/>
    <w:pPr>
      <w:pBdr/>
      <w:spacing/>
      <w:ind/>
    </w:pPr>
    <w:rPr>
      <w:i/>
    </w:rPr>
  </w:style>
  <w:style w:type="character" w:styleId="760">
    <w:name w:val="Header Char"/>
    <w:uiPriority w:val="99"/>
    <w:qFormat/>
    <w:pPr>
      <w:pBdr/>
      <w:spacing/>
      <w:ind/>
    </w:pPr>
  </w:style>
  <w:style w:type="character" w:styleId="761">
    <w:name w:val="Footer Char"/>
    <w:uiPriority w:val="99"/>
    <w:qFormat/>
    <w:pPr>
      <w:pBdr/>
      <w:spacing/>
      <w:ind/>
    </w:pPr>
  </w:style>
  <w:style w:type="character" w:styleId="762">
    <w:name w:val="Caption Char"/>
    <w:uiPriority w:val="99"/>
    <w:qFormat/>
    <w:pPr>
      <w:pBdr/>
      <w:spacing/>
      <w:ind/>
    </w:pPr>
  </w:style>
  <w:style w:type="character" w:styleId="763">
    <w:name w:val="Footnote Text Char"/>
    <w:uiPriority w:val="99"/>
    <w:qFormat/>
    <w:pPr>
      <w:pBdr/>
      <w:spacing/>
      <w:ind/>
    </w:pPr>
    <w:rPr>
      <w:sz w:val="18"/>
    </w:rPr>
  </w:style>
  <w:style w:type="character" w:styleId="764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765">
    <w:name w:val="footnote reference"/>
    <w:pPr>
      <w:pBdr/>
      <w:spacing/>
      <w:ind/>
    </w:pPr>
    <w:rPr>
      <w:vertAlign w:val="superscript"/>
    </w:rPr>
  </w:style>
  <w:style w:type="character" w:styleId="766">
    <w:name w:val="Endnote Text Char"/>
    <w:uiPriority w:val="99"/>
    <w:qFormat/>
    <w:pPr>
      <w:pBdr/>
      <w:spacing/>
      <w:ind/>
    </w:pPr>
    <w:rPr>
      <w:sz w:val="20"/>
    </w:rPr>
  </w:style>
  <w:style w:type="character" w:styleId="767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8">
    <w:name w:val="endnote reference"/>
    <w:pPr>
      <w:pBdr/>
      <w:spacing/>
      <w:ind/>
    </w:pPr>
    <w:rPr>
      <w:vertAlign w:val="superscript"/>
    </w:rPr>
  </w:style>
  <w:style w:type="character" w:styleId="769">
    <w:name w:val="Основной шрифт абзаца"/>
    <w:semiHidden/>
    <w:qFormat/>
    <w:pPr>
      <w:pBdr/>
      <w:spacing/>
      <w:ind/>
    </w:pPr>
  </w:style>
  <w:style w:type="character" w:styleId="770">
    <w:name w:val="Page Number"/>
    <w:basedOn w:val="769"/>
    <w:pPr>
      <w:pBdr/>
      <w:spacing/>
      <w:ind/>
    </w:pPr>
  </w:style>
  <w:style w:type="character" w:styleId="771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72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773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774">
    <w:name w:val="Знак сноски"/>
    <w:qFormat/>
    <w:pPr>
      <w:pBdr/>
      <w:spacing/>
      <w:ind/>
    </w:pPr>
    <w:rPr>
      <w:vertAlign w:val="superscript"/>
    </w:rPr>
  </w:style>
  <w:style w:type="character" w:styleId="775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6">
    <w:name w:val="Строгий"/>
    <w:qFormat/>
    <w:pPr>
      <w:pBdr/>
      <w:spacing/>
      <w:ind/>
    </w:pPr>
    <w:rPr>
      <w:b/>
      <w:bCs/>
    </w:rPr>
  </w:style>
  <w:style w:type="character" w:styleId="777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78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79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80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781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82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783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84">
    <w:name w:val="Текст сноски Знак"/>
    <w:basedOn w:val="769"/>
    <w:qFormat/>
    <w:pPr>
      <w:pBdr/>
      <w:spacing/>
      <w:ind/>
    </w:pPr>
  </w:style>
  <w:style w:type="character" w:styleId="785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786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787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788">
    <w:name w:val="Выделение"/>
    <w:uiPriority w:val="20"/>
    <w:qFormat/>
    <w:pPr>
      <w:pBdr/>
      <w:spacing/>
      <w:ind/>
    </w:pPr>
    <w:rPr>
      <w:i/>
      <w:iCs/>
    </w:rPr>
  </w:style>
  <w:style w:type="character" w:styleId="78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790">
    <w:name w:val="Hyperlink"/>
    <w:pPr>
      <w:pBdr/>
      <w:spacing/>
      <w:ind/>
    </w:pPr>
    <w:rPr>
      <w:color w:val="000080"/>
      <w:u w:val="single"/>
    </w:rPr>
  </w:style>
  <w:style w:type="character" w:styleId="79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92">
    <w:name w:val="Заголовок"/>
    <w:basedOn w:val="737"/>
    <w:next w:val="793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93">
    <w:name w:val="Body Text"/>
    <w:basedOn w:val="737"/>
    <w:pPr>
      <w:pBdr/>
      <w:spacing w:after="140" w:before="0" w:line="276" w:lineRule="auto"/>
      <w:ind/>
    </w:pPr>
  </w:style>
  <w:style w:type="paragraph" w:styleId="794">
    <w:name w:val="List"/>
    <w:basedOn w:val="793"/>
    <w:pPr>
      <w:pBdr/>
      <w:spacing/>
      <w:ind/>
    </w:pPr>
    <w:rPr>
      <w:rFonts w:ascii="PT Astra Serif" w:hAnsi="PT Astra Serif" w:cs="Noto Sans Devanagari"/>
    </w:rPr>
  </w:style>
  <w:style w:type="paragraph" w:styleId="795">
    <w:name w:val="Caption"/>
    <w:basedOn w:val="737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796">
    <w:name w:val="Указатель"/>
    <w:basedOn w:val="737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97">
    <w:name w:val="toc 5"/>
    <w:basedOn w:val="737"/>
    <w:next w:val="737"/>
    <w:uiPriority w:val="39"/>
    <w:unhideWhenUsed/>
    <w:pPr>
      <w:pBdr/>
      <w:spacing w:after="57" w:before="0"/>
      <w:ind w:right="0" w:firstLine="0" w:left="1134"/>
    </w:pPr>
  </w:style>
  <w:style w:type="paragraph" w:styleId="798">
    <w:name w:val="toc 6"/>
    <w:basedOn w:val="737"/>
    <w:next w:val="737"/>
    <w:uiPriority w:val="39"/>
    <w:unhideWhenUsed/>
    <w:pPr>
      <w:pBdr/>
      <w:spacing w:after="57" w:before="0"/>
      <w:ind w:right="0" w:firstLine="0" w:left="1417"/>
    </w:pPr>
  </w:style>
  <w:style w:type="paragraph" w:styleId="799">
    <w:name w:val="toc 7"/>
    <w:basedOn w:val="737"/>
    <w:next w:val="737"/>
    <w:uiPriority w:val="39"/>
    <w:unhideWhenUsed/>
    <w:pPr>
      <w:pBdr/>
      <w:spacing w:after="57" w:before="0"/>
      <w:ind w:right="0" w:firstLine="0" w:left="1701"/>
    </w:pPr>
  </w:style>
  <w:style w:type="paragraph" w:styleId="800">
    <w:name w:val="toc 8"/>
    <w:basedOn w:val="737"/>
    <w:next w:val="737"/>
    <w:uiPriority w:val="39"/>
    <w:unhideWhenUsed/>
    <w:pPr>
      <w:pBdr/>
      <w:spacing w:after="57" w:before="0"/>
      <w:ind w:right="0" w:firstLine="0" w:left="1984"/>
    </w:pPr>
  </w:style>
  <w:style w:type="paragraph" w:styleId="801">
    <w:name w:val="toc 9"/>
    <w:basedOn w:val="737"/>
    <w:next w:val="737"/>
    <w:uiPriority w:val="39"/>
    <w:unhideWhenUsed/>
    <w:pPr>
      <w:pBdr/>
      <w:spacing w:after="57" w:before="0"/>
      <w:ind w:right="0" w:firstLine="0" w:left="2268"/>
    </w:pPr>
  </w:style>
  <w:style w:type="paragraph" w:styleId="802">
    <w:name w:val="List Paragraph"/>
    <w:basedOn w:val="737"/>
    <w:uiPriority w:val="34"/>
    <w:qFormat/>
    <w:pPr>
      <w:pBdr/>
      <w:spacing w:after="0" w:before="0"/>
      <w:ind w:firstLine="0" w:left="720"/>
      <w:contextualSpacing w:val="true"/>
    </w:pPr>
  </w:style>
  <w:style w:type="paragraph" w:styleId="803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4">
    <w:name w:val="Title"/>
    <w:basedOn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5">
    <w:name w:val="Quote"/>
    <w:basedOn w:val="737"/>
    <w:uiPriority w:val="29"/>
    <w:qFormat/>
    <w:pPr>
      <w:pBdr/>
      <w:spacing/>
      <w:ind w:right="720" w:firstLine="0" w:left="720"/>
    </w:pPr>
    <w:rPr>
      <w:i/>
    </w:rPr>
  </w:style>
  <w:style w:type="paragraph" w:styleId="806">
    <w:name w:val="Intense Quote"/>
    <w:basedOn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07">
    <w:name w:val="footnote text"/>
    <w:basedOn w:val="737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8">
    <w:name w:val="endnote text"/>
    <w:basedOn w:val="73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9">
    <w:name w:val="toc 2"/>
    <w:basedOn w:val="737"/>
    <w:uiPriority w:val="39"/>
    <w:unhideWhenUsed/>
    <w:pPr>
      <w:pBdr/>
      <w:spacing w:after="57" w:before="0"/>
      <w:ind w:right="0" w:firstLine="0" w:left="283"/>
    </w:pPr>
  </w:style>
  <w:style w:type="paragraph" w:styleId="810">
    <w:name w:val="toc 4"/>
    <w:basedOn w:val="737"/>
    <w:uiPriority w:val="39"/>
    <w:unhideWhenUsed/>
    <w:pPr>
      <w:pBdr/>
      <w:spacing w:after="57" w:before="0"/>
      <w:ind w:right="0" w:firstLine="0" w:left="850"/>
    </w:pPr>
  </w:style>
  <w:style w:type="paragraph" w:styleId="811">
    <w:name w:val="Index Heading"/>
    <w:basedOn w:val="792"/>
    <w:pPr>
      <w:pBdr/>
      <w:spacing/>
      <w:ind/>
    </w:pPr>
  </w:style>
  <w:style w:type="paragraph" w:styleId="812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13">
    <w:name w:val="table of figures"/>
    <w:basedOn w:val="737"/>
    <w:uiPriority w:val="99"/>
    <w:unhideWhenUsed/>
    <w:qFormat/>
    <w:pPr>
      <w:pBdr/>
      <w:spacing w:after="0" w:afterAutospacing="0" w:before="0"/>
      <w:ind/>
    </w:pPr>
  </w:style>
  <w:style w:type="paragraph" w:styleId="814">
    <w:name w:val="Текст,Текст Знак"/>
    <w:basedOn w:val="737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15">
    <w:name w:val="Колонтитул"/>
    <w:basedOn w:val="737"/>
    <w:qFormat/>
    <w:pPr>
      <w:pBdr/>
      <w:spacing/>
      <w:ind/>
    </w:pPr>
  </w:style>
  <w:style w:type="paragraph" w:styleId="816">
    <w:name w:val="Header"/>
    <w:basedOn w:val="737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7">
    <w:name w:val="Footer"/>
    <w:basedOn w:val="737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8">
    <w:name w:val="Plain Text1"/>
    <w:basedOn w:val="737"/>
    <w:qFormat/>
    <w:pPr>
      <w:pBdr/>
      <w:spacing/>
      <w:ind/>
    </w:pPr>
    <w:rPr>
      <w:rFonts w:ascii="Courier New" w:hAnsi="Courier New"/>
      <w:szCs w:val="20"/>
    </w:rPr>
  </w:style>
  <w:style w:type="paragraph" w:styleId="819">
    <w:name w:val="Основной текст,Основной текст Знак Знак Знак,Основной текст Знак, Знак Знак Знак,Знак Знак Знак"/>
    <w:basedOn w:val="737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820">
    <w:name w:val="Body Text Indent"/>
    <w:basedOn w:val="737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821">
    <w:name w:val="Subtitle"/>
    <w:basedOn w:val="737"/>
    <w:qFormat/>
    <w:pPr>
      <w:pBdr/>
      <w:spacing/>
      <w:ind/>
    </w:pPr>
    <w:rPr>
      <w:szCs w:val="20"/>
    </w:rPr>
  </w:style>
  <w:style w:type="paragraph" w:styleId="822">
    <w:name w:val="Основной текст с отступом 2"/>
    <w:basedOn w:val="737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823">
    <w:name w:val="Основной текст с отступом 3"/>
    <w:basedOn w:val="737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824">
    <w:name w:val="Body Text 22"/>
    <w:basedOn w:val="737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825">
    <w:name w:val="Pa8+2"/>
    <w:basedOn w:val="737"/>
    <w:qFormat/>
    <w:pPr>
      <w:pBdr/>
      <w:spacing w:line="241" w:lineRule="atLeast"/>
      <w:ind/>
    </w:pPr>
  </w:style>
  <w:style w:type="paragraph" w:styleId="826">
    <w:name w:val="Pa11+4"/>
    <w:basedOn w:val="737"/>
    <w:qFormat/>
    <w:pPr>
      <w:pBdr/>
      <w:spacing w:after="0" w:before="100" w:line="241" w:lineRule="atLeast"/>
      <w:ind/>
    </w:pPr>
  </w:style>
  <w:style w:type="paragraph" w:styleId="827">
    <w:name w:val="Pa13+3"/>
    <w:basedOn w:val="737"/>
    <w:qFormat/>
    <w:pPr>
      <w:pBdr/>
      <w:spacing w:after="0" w:before="200" w:line="241" w:lineRule="atLeast"/>
      <w:ind/>
    </w:pPr>
  </w:style>
  <w:style w:type="paragraph" w:styleId="828">
    <w:name w:val="Pa15+2"/>
    <w:basedOn w:val="737"/>
    <w:qFormat/>
    <w:pPr>
      <w:pBdr/>
      <w:spacing w:after="0" w:before="200" w:line="241" w:lineRule="atLeast"/>
      <w:ind/>
    </w:pPr>
  </w:style>
  <w:style w:type="paragraph" w:styleId="829">
    <w:name w:val="Pa5+3"/>
    <w:basedOn w:val="737"/>
    <w:qFormat/>
    <w:pPr>
      <w:pBdr/>
      <w:spacing w:line="241" w:lineRule="atLeast"/>
      <w:ind/>
    </w:pPr>
  </w:style>
  <w:style w:type="paragraph" w:styleId="830">
    <w:name w:val="Основной текст 2"/>
    <w:basedOn w:val="737"/>
    <w:qFormat/>
    <w:pPr>
      <w:pBdr/>
      <w:spacing/>
      <w:ind/>
      <w:jc w:val="both"/>
    </w:pPr>
    <w:rPr>
      <w:sz w:val="20"/>
      <w:szCs w:val="20"/>
    </w:rPr>
  </w:style>
  <w:style w:type="paragraph" w:styleId="83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2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3">
    <w:name w:val="Body Text 3"/>
    <w:basedOn w:val="737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834">
    <w:name w:val="toc 3"/>
    <w:basedOn w:val="737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835">
    <w:name w:val="Цитата"/>
    <w:basedOn w:val="737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836">
    <w:name w:val="Схема документа"/>
    <w:basedOn w:val="737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37">
    <w:name w:val="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38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9">
    <w:name w:val="Пункт договора"/>
    <w:basedOn w:val="737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840">
    <w:name w:val="Основной текст 3"/>
    <w:basedOn w:val="737"/>
    <w:qFormat/>
    <w:pPr>
      <w:pBdr/>
      <w:spacing w:after="120" w:before="0"/>
      <w:ind/>
    </w:pPr>
    <w:rPr>
      <w:sz w:val="16"/>
      <w:szCs w:val="16"/>
    </w:rPr>
  </w:style>
  <w:style w:type="paragraph" w:styleId="841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842">
    <w:name w:val="toc 1"/>
    <w:basedOn w:val="737"/>
    <w:semiHidden/>
    <w:pPr>
      <w:pBdr/>
      <w:spacing/>
      <w:ind/>
    </w:pPr>
  </w:style>
  <w:style w:type="paragraph" w:styleId="843">
    <w:name w:val="Текст сноски"/>
    <w:basedOn w:val="737"/>
    <w:qFormat/>
    <w:pPr>
      <w:pBdr/>
      <w:spacing/>
      <w:ind/>
    </w:pPr>
    <w:rPr>
      <w:sz w:val="20"/>
      <w:szCs w:val="20"/>
    </w:rPr>
  </w:style>
  <w:style w:type="paragraph" w:styleId="844">
    <w:name w:val=" Знак1"/>
    <w:basedOn w:val="737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5">
    <w:name w:val="Знак"/>
    <w:basedOn w:val="737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846">
    <w:name w:val="Обычный (веб)"/>
    <w:basedOn w:val="737"/>
    <w:qFormat/>
    <w:pPr>
      <w:keepNext w:val="true"/>
      <w:pBdr/>
      <w:spacing/>
      <w:ind/>
    </w:pPr>
  </w:style>
  <w:style w:type="paragraph" w:styleId="847">
    <w:name w:val="Основной текст 21"/>
    <w:basedOn w:val="737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848">
    <w:name w:val="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49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850">
    <w:name w:val="Нумерованный список 2"/>
    <w:basedOn w:val="737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51">
    <w:name w:val="Стиль3"/>
    <w:basedOn w:val="822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852">
    <w:name w:val="Обычный (веб)1,Обычный (Web)1"/>
    <w:basedOn w:val="737"/>
    <w:qFormat/>
    <w:pPr>
      <w:keepNext w:val="true"/>
      <w:pBdr/>
      <w:spacing/>
      <w:ind/>
    </w:pPr>
    <w:rPr>
      <w:rFonts w:cs="Arial"/>
      <w:szCs w:val="18"/>
    </w:rPr>
  </w:style>
  <w:style w:type="paragraph" w:styleId="853">
    <w:name w:val="Заголовок 1.Заголовок 1 Знак1.Заголовок 1 Знак Знак.Заголовок 1 Знак Знак1.Заголовок 1 Знак.Заголовок 1 Знак2.Document Header1"/>
    <w:basedOn w:val="737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854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855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56">
    <w:name w:val="Абзац списка"/>
    <w:basedOn w:val="737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57">
    <w:name w:val="Текст выноски"/>
    <w:basedOn w:val="737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858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9">
    <w:name w:val="Содержимое таблицы"/>
    <w:basedOn w:val="737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860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61">
    <w:name w:val="Обычный (Web)"/>
    <w:basedOn w:val="737"/>
    <w:qFormat/>
    <w:pPr>
      <w:pBdr/>
      <w:spacing w:afterAutospacing="1" w:beforeAutospacing="1"/>
      <w:ind/>
    </w:pPr>
  </w:style>
  <w:style w:type="paragraph" w:styleId="862">
    <w:name w:val="Plain Text,Oaeno Ciae"/>
    <w:basedOn w:val="737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863">
    <w:name w:val=" Знак Знак Знак Знак Знак Знак1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64">
    <w:name w:val="Текст ТД"/>
    <w:basedOn w:val="737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865">
    <w:name w:val="Стандартный HTML"/>
    <w:basedOn w:val="737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866">
    <w:name w:val="Основно"/>
    <w:basedOn w:val="737"/>
    <w:qFormat/>
    <w:pPr>
      <w:widowControl w:val="false"/>
      <w:pBdr/>
      <w:spacing/>
      <w:ind/>
      <w:jc w:val="both"/>
    </w:pPr>
    <w:rPr>
      <w:szCs w:val="20"/>
    </w:rPr>
  </w:style>
  <w:style w:type="paragraph" w:styleId="867">
    <w:name w:val="style_13322268210000000501msoplaintext"/>
    <w:basedOn w:val="737"/>
    <w:qFormat/>
    <w:pPr>
      <w:pBdr/>
      <w:spacing w:afterAutospacing="1" w:beforeAutospacing="1"/>
      <w:ind/>
    </w:pPr>
  </w:style>
  <w:style w:type="paragraph" w:styleId="868">
    <w:name w:val="style_13322268210000000501msonormal"/>
    <w:basedOn w:val="737"/>
    <w:qFormat/>
    <w:pPr>
      <w:pBdr/>
      <w:spacing w:afterAutospacing="1" w:beforeAutospacing="1"/>
      <w:ind/>
    </w:pPr>
  </w:style>
  <w:style w:type="paragraph" w:styleId="869">
    <w:name w:val="TextBoldCenter"/>
    <w:basedOn w:val="737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870">
    <w:name w:val="Содержимое врезки"/>
    <w:basedOn w:val="737"/>
    <w:qFormat/>
    <w:pPr>
      <w:pBdr/>
      <w:spacing/>
      <w:ind/>
    </w:pPr>
  </w:style>
  <w:style w:type="paragraph" w:styleId="871">
    <w:name w:val="Заголовок таблицы"/>
    <w:basedOn w:val="859"/>
    <w:qFormat/>
    <w:pPr>
      <w:suppressLineNumbers w:val="true"/>
      <w:pBdr/>
      <w:spacing/>
      <w:ind/>
      <w:jc w:val="center"/>
    </w:pPr>
    <w:rPr>
      <w:b/>
      <w:bCs/>
    </w:rPr>
  </w:style>
  <w:style w:type="paragraph" w:styleId="872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824"/>
    <w:qFormat/>
    <w:pPr>
      <w:keepNext w:val="false"/>
      <w:keepLines w:val="false"/>
      <w:pageBreakBefore w:val="false"/>
      <w:widowControl w:val="true"/>
      <w:pBdr/>
      <w:shd w:val="nil"/>
      <w:spacing w:after="120" w:afterAutospacing="0" w:before="0" w:beforeAutospacing="0" w:line="240" w:lineRule="auto"/>
      <w:ind w:right="0" w:firstLine="0" w:left="283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73">
    <w:name w:val="Нет списка"/>
    <w:semiHidden/>
    <w:qFormat/>
    <w:pPr>
      <w:pBdr/>
      <w:spacing/>
      <w:ind/>
    </w:pPr>
  </w:style>
  <w:style w:type="numbering" w:styleId="874" w:default="1">
    <w:name w:val="No List"/>
    <w:uiPriority w:val="99"/>
    <w:semiHidden/>
    <w:unhideWhenUsed/>
    <w:qFormat/>
    <w:pPr>
      <w:pBdr/>
      <w:spacing/>
      <w:ind/>
    </w:pPr>
  </w:style>
  <w:style w:type="table" w:styleId="875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21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2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395</cp:revision>
  <dcterms:created xsi:type="dcterms:W3CDTF">2016-07-20T08:26:00Z</dcterms:created>
  <dcterms:modified xsi:type="dcterms:W3CDTF">2025-05-23T06:54:42Z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