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4"/>
        <w:keepNext w:val="true"/>
        <w:keepLines w:val="true"/>
        <w:pBdr/>
        <w:spacing w:after="0" w:before="0"/>
        <w:ind/>
        <w:contextualSpacing w:val="true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83693753"/>
      <w:bookmarkStart w:id="1" w:name="_Toc184377894"/>
      <w:bookmarkStart w:id="2" w:name="_Toc184397049"/>
      <w:bookmarkStart w:id="3" w:name="_Toc184461614"/>
      <w:bookmarkStart w:id="4" w:name="_Toc183681431"/>
      <w:bookmarkStart w:id="5" w:name="_Toc183681575"/>
      <w:bookmarkEnd w:id="0"/>
      <w:bookmarkEnd w:id="1"/>
      <w:bookmarkEnd w:id="2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4"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О ПРОВЕДЕНИИ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4"/>
        <w:keepNext w:val="true"/>
        <w:keepLines w:val="true"/>
        <w:pBdr/>
        <w:spacing w:after="34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216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278"/>
        </w:trPr>
        <w:tc>
          <w:tcPr>
            <w:tcW w:w="10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keepNext w:val="true"/>
              <w:keepLines w:val="true"/>
              <w:widowControl w:val="false"/>
              <w:pBdr/>
              <w:spacing w:after="0" w:before="0"/>
              <w:ind w:right="0" w:firstLine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ОСНОВНЫЕ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90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32"/>
              <w:keepNext w:val="true"/>
              <w:keepLines w:val="true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Организатор аукциона (уполномоченный орган): </w:t>
            </w:r>
            <w:r>
              <w:rPr>
                <w:rFonts w:ascii="Tinos" w:hAnsi="Tinos" w:eastAsia="Calibri" w:cs="Times New Roman"/>
                <w:b w:val="0"/>
                <w:bCs w:val="0"/>
                <w:color w:val="000000"/>
                <w:sz w:val="21"/>
                <w:szCs w:val="21"/>
                <w:lang w:val="ru-RU" w:eastAsia="en-US" w:bidi="ar-SA"/>
              </w:rPr>
              <w:t xml:space="preserve">«МКУ ПИЗО</w:t>
            </w:r>
            <w:r>
              <w:rPr>
                <w:rFonts w:ascii="Tinos" w:hAnsi="Tinos" w:eastAsia="Arial" w:cs="Times New Roman" w:eastAsiaTheme="minorEastAsia"/>
                <w:b/>
                <w:bCs/>
                <w:color w:val="000000"/>
                <w:sz w:val="21"/>
                <w:szCs w:val="21"/>
                <w:lang w:val="ru-RU" w:eastAsia="en-US" w:bidi="en-US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Актанышского муниципального района РТ»</w:t>
            </w:r>
            <w:r>
              <w:rPr>
                <w:rFonts w:ascii="Tinos" w:hAnsi="Tinos" w:cs="Times New Roman"/>
                <w:b w:val="0"/>
                <w:bCs w:val="0"/>
                <w:color w:val="000000"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Место нахождения (почтовый адрес): </w:t>
            </w:r>
            <w:r>
              <w:rPr>
                <w:rFonts w:ascii="Tinos" w:hAnsi="Tinos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</w:rPr>
              <w:t xml:space="preserve">423737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a"/>
                <w:sz w:val="21"/>
                <w:szCs w:val="21"/>
                <w:lang w:val="ru-RU" w:eastAsia="ar-SA" w:bidi="en-US"/>
              </w:rPr>
              <w:t xml:space="preserve">Республика Татарстан, Актанышский район, с. Актаныш, пр. Ленина, д. 17.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Контактные телефоны: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color w:val="000000"/>
                <w:sz w:val="21"/>
                <w:szCs w:val="21"/>
                <w:lang w:val="ru-RU" w:eastAsia="en-US" w:bidi="en-US"/>
              </w:rPr>
              <w:t xml:space="preserve">8(85552) 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3-44-33 </w:t>
            </w:r>
            <w:r>
              <w:rPr>
                <w:rFonts w:ascii="Tinos" w:hAnsi="Tinos" w:cs="Times New Roman"/>
                <w:color w:val="000000"/>
                <w:sz w:val="21"/>
                <w:szCs w:val="21"/>
                <w:lang w:val="ru-RU" w:eastAsia="en-US" w:bidi="ar-SA"/>
              </w:rPr>
              <w:t xml:space="preserve">Ильясова Айсылу Ильнаровна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,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3-44-10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Зайнетдинов Булат Рифатович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/>
            </w:pPr>
            <w:r>
              <w:rPr>
                <w:rStyle w:val="771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Ответственное лицо — </w:t>
            </w:r>
            <w:r>
              <w:rPr>
                <w:rStyle w:val="771"/>
                <w:rFonts w:ascii="Tinos" w:hAnsi="Tinos" w:eastAsia="Times New Roman" w:cs="Times New Roman"/>
                <w:b/>
                <w:bCs/>
                <w:color w:val="000000"/>
                <w:sz w:val="21"/>
                <w:szCs w:val="21"/>
                <w:lang w:val="ru-RU" w:eastAsia="ru-RU" w:bidi="ar-SA"/>
              </w:rPr>
              <w:t xml:space="preserve">Зайнетдинов Булат Рифатович</w:t>
            </w:r>
            <w:r>
              <w:rPr>
                <w:rStyle w:val="771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.</w:t>
            </w:r>
          </w:p>
        </w:tc>
      </w:tr>
      <w:tr>
        <w:trPr>
          <w:trHeight w:val="846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Вид торгов: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Аукцион на право заключения договоров аренды земельного участка, находящегося в государственной собственности, в электронной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Аукцион проводится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в порядке, предусмотренном статьями 39.11 и 39.12, с учетом особенностей статьи 39.13 Земельного Кодекса Российской Федерации.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Основание: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  <w:shd w:val="clear" w:color="auto" w:fill="auto"/>
              </w:rPr>
              <w:t xml:space="preserve"> Распоряжение РИК АМР РТ от 28.03.2025 г. № 215-р.</w:t>
            </w:r>
          </w:p>
        </w:tc>
      </w:tr>
      <w:tr>
        <w:trPr>
          <w:trHeight w:val="846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Оператор электронной площадки: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АО «Агентство по государственному заказу Республики Татарстан».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Место нахождения (почтовый адрес): 420021, Республика Татарстан, г. Казань, ул. Московская, 55;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Контактные телефоны: (843)292-95-17 – Голованов Михаил Юрьевич, служба технической поддержки - (843)212-24-25.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Адрес электронной площадки, на которой будет проводиться аукцион в электронной форме,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утвержденной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13" w:tooltip="http://sale.zakazrf.ru/" w:history="1"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 w:cs="Times New Roman"/>
                <w:sz w:val="21"/>
                <w:szCs w:val="21"/>
              </w:rPr>
              <w:t xml:space="preserve">.</w:t>
            </w:r>
          </w:p>
        </w:tc>
      </w:tr>
      <w:tr>
        <w:trPr>
          <w:trHeight w:val="116"/>
        </w:trPr>
        <w:tc>
          <w:tcPr>
            <w:tcW w:w="10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ИНФОРМАЦИЯ О ЛОТЕ: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846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lef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 w:line="240" w:lineRule="auto"/>
              <w:ind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Лот №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1:</w:t>
            </w:r>
            <w:r>
              <w:rPr>
                <w:rFonts w:ascii="Tinos" w:hAnsi="Tinos" w:eastAsia="Tinos" w:cs="Tinos"/>
                <w:b/>
                <w:bCs/>
                <w:i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участок, категория земель: земли 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en-US"/>
              </w:rPr>
              <w:t xml:space="preserve">населённых пунктов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разрешенное использование: 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val="ru-RU" w:eastAsia="en-US"/>
              </w:rPr>
              <w:t xml:space="preserve">индивидуальные жилые дома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общая площадь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1 628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кв.м., кадастровый номер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16:04:130101:935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расположенный по адресу: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Российская Федерация, Республика Татарстан, муниципальный район Актанышский, сельское поселение Старобугадинское, село Старые Бугады, улица Новая, земельный участок 23а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.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Начальная цена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4647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четыре тысячи шестьсот сорок семь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88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копеек.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Шаг аукциона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139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сто тридцать девять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43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Сумма задатка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929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девятьсот двадцать девять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57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копеек.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государственная собственность на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не разграничена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Существующие ограничения (обременения) прав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нет.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</w:tc>
      </w:tr>
      <w:tr>
        <w:trPr>
          <w:trHeight w:val="352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Сведения обо всех предыдущих торгах: </w:t>
            </w:r>
            <w:r>
              <w:rPr>
                <w:rFonts w:ascii="Tinos" w:hAnsi="Tinos" w:eastAsia="Calibri"/>
                <w:sz w:val="21"/>
                <w:szCs w:val="21"/>
              </w:rPr>
              <w:t xml:space="preserve">Аукцион проводится впервые.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tcW w:w="10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III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 ИНФОРМАЦИЯ О ЗАДАТКЕ: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Срок и порядок внесения задатка. </w:t>
            </w:r>
            <w:r>
              <w:rPr>
                <w:rFonts w:ascii="Tinos" w:hAnsi="Tinos"/>
                <w:sz w:val="21"/>
                <w:szCs w:val="21"/>
              </w:rPr>
              <w:t xml:space="preserve">Сумма задатка для участия в аукционе (20 %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69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 w:val="0"/>
                <w:sz w:val="21"/>
                <w:szCs w:val="21"/>
              </w:rPr>
              <w:t xml:space="preserve"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Данное со</w:t>
            </w:r>
            <w:r>
              <w:rPr>
                <w:rFonts w:ascii="Tinos" w:hAnsi="Tinos"/>
                <w:sz w:val="21"/>
                <w:szCs w:val="21"/>
              </w:rPr>
              <w:t xml:space="preserve">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победителем аукциона, засчитывается в счет оплаты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 xml:space="preserve">Банковские реквизиты счета для перечисления задатка: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  <w:lang w:val="ru-RU" w:eastAsia="ru-RU"/>
              </w:rPr>
              <w:t xml:space="preserve">Возврат задатков участникам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  <w:lang w:val="ru-RU" w:eastAsia="ru-RU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д) в случае принятия решения об отказе в проведении аукциона – в течение 3 дней, со дня принятия данного решения.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При уклонении или отказе победителя аукциона от заключения договора аренды земельного участка,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задаток ему не возвращается.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Информация о размере взимаемой платы Оператору электронной площадки за участие в электронном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При подаче заявки на участие в аукционе у участника на виртуальном счете должна иметься дополнительная сумма в размере 1,2% начальной цены предмета аукциона, но не более чем 6 000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На основании Приказа АО «Агентство по государственному заказу </w:t>
            </w: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Республики Татарстан» от 28.02.2023 № 2 - с 1 марта 2023 года при подаче заявок на участие в аукционах будет дополнительно блокироваться сумма в размере 1,2% начальной цены предмета аукциона, но не более 6000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Позднее у участника, заключившего договор, будет списана комиссия площадки.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140"/>
        </w:trPr>
        <w:tc>
          <w:tcPr>
            <w:tcW w:w="10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ТРЕБОВАНИЯ К ЗАЯВКАМ И К УЧАСТНИКАМ: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Требования к участникам:</w:t>
            </w:r>
            <w:r>
              <w:rPr>
                <w:rFonts w:ascii="Tinos" w:hAnsi="Tinos"/>
                <w:sz w:val="21"/>
                <w:szCs w:val="21"/>
              </w:rPr>
              <w:t xml:space="preserve"> Заявителями - участниками электронного аукциона могут быть любые физические и юридические лица.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Перечень представляемых участниками аукциона документов: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заявка на участие в аукционе по установленной форме;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платежный документ, подтверждающий внесение задатка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физические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предъявляют копию документа, удостоверяющего личность, согласие на обработку персональных данных;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юридические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предоставляют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Требования к оформлению документов: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Прилагаемые к заявке документы подаются в электронном виде (должны быть отсканированы).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366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Дата, время и порядок регистрации претендентов на участие в аукционе на Электронной площадке: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hyperlink r:id="rId14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 пользователь должен пройти процедуру аккредитации на электронной площадке.</w:t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аккредитации размещена в разделе «Документы» см. «Инструкция по регистрации организации».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участию в аукционе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Электронная площадка функционирует круглосуточно.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rFonts w:ascii="Tinos" w:hAnsi="Tinos"/>
                <w:color w:val="000000"/>
                <w:sz w:val="21"/>
                <w:szCs w:val="21"/>
                <w:shd w:val="clear" w:color="auto" w:fill="ffffff"/>
              </w:rPr>
              <w:t xml:space="preserve">с понедельника по пятницу с 8:30 до 16:00 по московскому времени </w:t>
            </w:r>
            <w:r>
              <w:rPr>
                <w:rFonts w:ascii="Tinos" w:hAnsi="Tinos"/>
                <w:sz w:val="21"/>
                <w:szCs w:val="21"/>
              </w:rPr>
              <w:t xml:space="preserve">в Службу тех.поддержки, тел.(843) 212-24-25, </w:t>
            </w:r>
            <w:hyperlink r:id="rId15" w:tooltip="mailto:sale@mail.zakazrf.ru." w:history="1">
              <w:r>
                <w:rPr>
                  <w:rStyle w:val="771"/>
                  <w:rFonts w:ascii="Tinos" w:hAnsi="Tinos"/>
                  <w:color w:val="000000"/>
                  <w:sz w:val="21"/>
                  <w:szCs w:val="21"/>
                  <w:shd w:val="clear" w:color="auto" w:fill="ffffff"/>
                </w:rPr>
                <w:t xml:space="preserve">sale@mail.zakazrf.ru</w:t>
              </w:r>
              <w:r>
                <w:rPr>
                  <w:rStyle w:val="771"/>
                  <w:rFonts w:ascii="Tinos" w:hAnsi="Tinos"/>
                  <w:color w:val="000000"/>
                  <w:sz w:val="21"/>
                  <w:szCs w:val="21"/>
                </w:rPr>
                <w:t xml:space="preserve">.</w:t>
              </w:r>
            </w:hyperlink>
          </w:p>
        </w:tc>
      </w:tr>
      <w:tr>
        <w:trPr>
          <w:trHeight w:val="366"/>
        </w:trPr>
        <w:tc>
          <w:tcPr>
            <w:tcW w:w="10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УСЛОВИЯ ПРОВЕДЕНИЯ ПРОЦЕДУРЫ: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Порядок, место, даты начала и окончания подачи заявок: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Место подачи заявок: </w:t>
            </w:r>
            <w:r>
              <w:rPr>
                <w:rFonts w:ascii="Tinos" w:hAnsi="Tinos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начала приема заявок: 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7  апреля 2025 года в 16:00 часов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окончания приема заявок: </w:t>
            </w:r>
            <w:r>
              <w:rPr>
                <w:rFonts w:ascii="Tinos" w:hAnsi="Tinos"/>
                <w:b/>
                <w:sz w:val="21"/>
                <w:szCs w:val="21"/>
                <w:u w:val="single"/>
                <w:shd w:val="clear" w:color="auto" w:fill="auto"/>
              </w:rPr>
              <w:t xml:space="preserve">18 апреля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2025 года в 16:00 часов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подачи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Одно лицо имеет право подать только одну заявку.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на участие в электронном аукци</w:t>
            </w:r>
            <w:r>
              <w:rPr>
                <w:rFonts w:ascii="Tinos" w:hAnsi="Tinos"/>
                <w:sz w:val="21"/>
                <w:szCs w:val="21"/>
              </w:rPr>
              <w:t xml:space="preserve">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отзыва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День определения участников и рассмотрение заявок на участие в аукционе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21 апреля 2025 года.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Не позднее следующего дня после дня подписания пр</w:t>
            </w:r>
            <w:r>
              <w:rPr>
                <w:rFonts w:ascii="Tinos" w:hAnsi="Tinos"/>
                <w:sz w:val="21"/>
                <w:szCs w:val="21"/>
              </w:rPr>
              <w:t xml:space="preserve">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Причины отказа в допуске к участию в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непредставление необходимых для участия в аукционе документов или представление недостоверных сведений;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 непоступление задатка на дату рассмотрения заявок на участие в аукционе;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наличие сведений о заявителе, об учредителях (</w:t>
            </w:r>
            <w:r>
              <w:rPr>
                <w:rFonts w:ascii="Tinos" w:hAnsi="Tinos"/>
                <w:sz w:val="21"/>
                <w:szCs w:val="21"/>
              </w:rPr>
              <w:t xml:space="preserve">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Место, дата и время проведения аукциона в электронной форме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 w:cs="Times New Roman"/>
                <w:b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nos" w:hAnsi="Tinos" w:cs="Times New Roman"/>
                <w:b/>
                <w:bCs/>
                <w:i/>
                <w:iCs/>
                <w:sz w:val="21"/>
                <w:szCs w:val="21"/>
                <w:u w:val="single"/>
                <w:shd w:val="clear" w:color="auto" w:fill="auto"/>
              </w:rPr>
              <w:t xml:space="preserve">22 апреля 2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025 года, начало в 09:00</w:t>
            </w:r>
            <w:r>
              <w:rPr>
                <w:rFonts w:ascii="Tinos" w:hAnsi="Tinos" w:cs="Times New Roman"/>
                <w:sz w:val="21"/>
                <w:szCs w:val="21"/>
                <w:u w:val="single"/>
                <w:shd w:val="clear" w:color="auto" w:fill="auto"/>
              </w:rPr>
              <w:t xml:space="preserve"> 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часов.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hyperlink r:id="rId16" w:tooltip="http://sale.zakazrf.ru/" w:history="1"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http://sale.zakazrf.ru/</w:t>
              </w:r>
            </w:hyperlink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.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проведения аукциона в электронной форме: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Непосредственно принимать участие в аукционе могут только заявители, признанные участниками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В случае если в течение указанного времени: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</w:t>
            </w:r>
            <w:r>
              <w:rPr>
                <w:rFonts w:ascii="Tinos" w:hAnsi="Tinos"/>
                <w:sz w:val="21"/>
                <w:szCs w:val="21"/>
              </w:rPr>
              <w:t xml:space="preserve">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 не поступил</w:t>
            </w:r>
            <w:r>
              <w:rPr>
                <w:rFonts w:ascii="Tinos" w:hAnsi="Tinos"/>
                <w:sz w:val="21"/>
                <w:szCs w:val="21"/>
              </w:rPr>
              <w:t xml:space="preserve">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Отказ от проведения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Актанышского муниципального района Республики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17" w:tooltip="../../../../home/aysylu/Desktops/Desktop1/Новое%202024/АУКЦИОН%202024%20/ТРАНСПОРТ%202/ТОРГИ%20АВТО%202%20поток/aktanysh.tatarstan.ru" w:history="1"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Fonts w:ascii="Tinos" w:hAnsi="Tinos"/>
                <w:sz w:val="21"/>
                <w:szCs w:val="21"/>
              </w:rPr>
              <w:t xml:space="preserve">,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18" w:tooltip="https://torgi.gov.ru/new/public" w:history="1"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Данное извещение после размещения на официальном сайте в автоматическом режиме направляется на электронную площадку </w:t>
            </w:r>
            <w:hyperlink r:id="rId19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Оператор электронной площадки направляет в электронной форме уведомления об отказе в проведении аукциона, также возвращает задатки заявителям, подавшим заявки или участникам аукциона.</w:t>
            </w:r>
          </w:p>
        </w:tc>
      </w:tr>
      <w:tr>
        <w:trPr/>
        <w:tc>
          <w:tcPr>
            <w:tcW w:w="10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 w:eastAsia="ru-RU"/>
              </w:rPr>
              <w:t xml:space="preserve">VI</w:t>
            </w:r>
            <w:r>
              <w:rPr>
                <w:rFonts w:ascii="Tinos" w:hAnsi="Tinos"/>
                <w:b/>
                <w:sz w:val="21"/>
                <w:szCs w:val="21"/>
                <w:lang w:val="ru-RU" w:eastAsia="ru-RU"/>
              </w:rPr>
              <w:t xml:space="preserve">. ЗАКЛЮЧЕНИЕ ДОГОВОРА: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Лица, с которыми заключается договор аренды земельного участка: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с победителем аукциона по предложенной им наибольшей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единственным заявителем, признанным участником аукциона, либо единственным принявшим участие в аукционе участником, а также единственным заяви</w:t>
            </w:r>
            <w:r>
              <w:rPr>
                <w:rFonts w:ascii="Tinos" w:hAnsi="Tinos"/>
                <w:sz w:val="21"/>
                <w:szCs w:val="21"/>
              </w:rPr>
              <w:t xml:space="preserve">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  <w:t xml:space="preserve">Срок и условия заключения договора аренды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Не допускается заключение дог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"garantF1://890941.25746134"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  <w:t xml:space="preserve">официальном сайте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https://torgi.gov.ru/new/public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106bbe"/>
                <w:sz w:val="22"/>
                <w:szCs w:val="22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r>
          </w:p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Победитель аукциона, или иное лицо, с которым заключается договор, обязан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заключ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ить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договор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r>
          </w:p>
          <w:p>
            <w:pPr>
              <w:pStyle w:val="737"/>
              <w:pBdr/>
              <w:spacing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Если договор аренды земельного участка в </w:t>
            </w:r>
            <w:r>
              <w:rPr>
                <w:sz w:val="22"/>
                <w:szCs w:val="22"/>
                <w:highlight w:val="none"/>
              </w:rPr>
              <w:t xml:space="preserve">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не был подписан победителем аукциона, указанный договор заключ</w:t>
            </w:r>
            <w:r>
              <w:rPr>
                <w:sz w:val="22"/>
                <w:szCs w:val="22"/>
                <w:highlight w:val="none"/>
              </w:rPr>
              <w:t xml:space="preserve">ается с</w:t>
            </w:r>
            <w:r>
              <w:rPr>
                <w:sz w:val="22"/>
                <w:szCs w:val="22"/>
                <w:highlight w:val="none"/>
              </w:rPr>
              <w:t xml:space="preserve"> участник</w:t>
            </w:r>
            <w:r>
              <w:rPr>
                <w:sz w:val="22"/>
                <w:szCs w:val="22"/>
                <w:highlight w:val="none"/>
              </w:rPr>
              <w:t xml:space="preserve">ом</w:t>
            </w:r>
            <w:r>
              <w:rPr>
                <w:sz w:val="22"/>
                <w:szCs w:val="22"/>
                <w:highlight w:val="none"/>
              </w:rPr>
              <w:t xml:space="preserve"> аукциона, который сделал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по цене, предложенной таким участником.</w:t>
            </w:r>
            <w:r>
              <w:rPr>
                <w:sz w:val="22"/>
                <w:szCs w:val="22"/>
                <w:highlight w:val="none"/>
              </w:rPr>
              <w:t xml:space="preserve"> Участник аукциона, сделавший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обязан </w:t>
            </w:r>
            <w:r>
              <w:rPr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заключить договор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Оплата по договору производится в течение 30 (тридцати) дней со дня заключения договора купли-продажи земельного участка на счет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03100643000000011100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ЕКС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40102810445370000079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КБК: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17011105013050000120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 УФК по РТ (Палата имущественных и земельных отношений Актанышского муниципального района) ИНН 1604006938; КПП: 160401001; в отделение - НБ РТ г.Казани, БИК 019205400</w:t>
            </w:r>
            <w:r>
              <w:rPr>
                <w:rFonts w:ascii="Tinos" w:hAnsi="Tinos"/>
                <w:sz w:val="21"/>
                <w:szCs w:val="21"/>
              </w:rPr>
              <w:t xml:space="preserve">, ОКТМО: </w:t>
            </w:r>
            <w:r>
              <w:rPr>
                <w:color w:val="000000"/>
                <w:sz w:val="21"/>
                <w:szCs w:val="21"/>
              </w:rPr>
              <w:t xml:space="preserve">92605000</w:t>
            </w:r>
            <w:r>
              <w:rPr>
                <w:rFonts w:ascii="Tinos" w:hAnsi="Tinos"/>
                <w:sz w:val="21"/>
              </w:rPr>
            </w:r>
            <w:r>
              <w:rPr>
                <w:rFonts w:ascii="Tinos" w:hAnsi="Tinos"/>
                <w:sz w:val="21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договора аренды земельного участка, засчитывается в счет арендной 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Сведения о победителе аукциона, либо</w:t>
            </w:r>
            <w:r>
              <w:rPr>
                <w:rFonts w:ascii="Tinos" w:hAnsi="Tinos" w:cs="Arial"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ином лице, с которым заключается договор, уклонившемся от заключения договора аренды земельного участка, включаются в реестр недобросовестных участников аукциона и исключаются из реестра по истечении двух лет со дня их внесения.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W w:w="10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ДОПОЛНИТЕЛЬНЫЕ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37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Дополнительная информация: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1. Документооборот между Претенде</w:t>
            </w:r>
            <w:r>
              <w:rPr>
                <w:rFonts w:ascii="Tinos" w:hAnsi="Tinos"/>
                <w:sz w:val="21"/>
                <w:szCs w:val="21"/>
              </w:rPr>
              <w:t xml:space="preserve">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ознакомления участника с условием договора аренды, с дополнительной информацией о предмете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Проект договора аренды земельного участка 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и доп. информация</w:t>
            </w:r>
            <w:r>
              <w:rPr>
                <w:rFonts w:ascii="Tinos" w:hAnsi="Tinos"/>
                <w:sz w:val="21"/>
                <w:szCs w:val="21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20" w:tooltip="https://torgi.gov.ru/new/public" w:history="1"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на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сайте Актанышского муниципального района Республика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21" w:tooltip="../../../../home/aysylu/Desktops/Desktop1/Новое%202024/АУКЦИОН%202024%20/ТРАНСПОРТ%202/ТОРГИ%20АВТО%202%20поток/aktanysh.tatarstan.ru" w:history="1"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Style w:val="771"/>
                <w:rFonts w:ascii="Tinos" w:hAnsi="Tinos"/>
                <w:color w:val="000000"/>
                <w:sz w:val="21"/>
                <w:szCs w:val="21"/>
                <w:u w:val="none"/>
              </w:rPr>
              <w:t xml:space="preserve">,</w:t>
            </w:r>
            <w:r>
              <w:rPr>
                <w:rFonts w:ascii="Tinos" w:hAnsi="Tinos"/>
                <w:sz w:val="21"/>
                <w:szCs w:val="21"/>
              </w:rPr>
              <w:t xml:space="preserve"> на Электронной площадке - </w:t>
            </w:r>
            <w:hyperlink r:id="rId22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</w:t>
            </w:r>
          </w:p>
        </w:tc>
      </w:tr>
    </w:tbl>
    <w:p>
      <w:pPr>
        <w:pStyle w:val="737"/>
        <w:pBdr/>
        <w:spacing/>
        <w:ind/>
        <w:rPr/>
      </w:pPr>
      <w:bookmarkStart w:id="10" w:name="_Toc183693753_Копия_1"/>
      <w:bookmarkStart w:id="11" w:name="_Toc184377894_Копия_1"/>
      <w:bookmarkStart w:id="12" w:name="_Toc184397049_Копия_1"/>
      <w:bookmarkStart w:id="13" w:name="_Toc184461614_Копия_1"/>
      <w:bookmarkEnd w:id="10"/>
      <w:bookmarkEnd w:id="11"/>
      <w:bookmarkEnd w:id="12"/>
      <w:bookmarkEnd w:id="13"/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h="16838" w:orient="portrait" w:w="11906"/>
      <w:pgMar w:top="766" w:right="567" w:bottom="766" w:left="85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Verdan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17"/>
                            <w:pBdr/>
                            <w:spacing/>
                            <w:ind/>
                            <w:rPr>
                              <w:rStyle w:val="770"/>
                            </w:rPr>
                          </w:pPr>
                          <w:r>
                            <w:rPr>
                              <w:rStyle w:val="77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70"/>
                            </w:rPr>
                          </w:r>
                          <w:r>
                            <w:rPr>
                              <w:rStyle w:val="770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17"/>
                      <w:pBdr/>
                      <w:spacing/>
                      <w:ind/>
                      <w:rPr>
                        <w:rStyle w:val="770"/>
                      </w:rPr>
                    </w:pPr>
                    <w:r>
                      <w:rPr>
                        <w:rStyle w:val="770"/>
                        <w:color w:val="000000"/>
                      </w:rPr>
                      <w:fldChar w:fldCharType="begin"/>
                    </w:r>
                    <w:r>
                      <w:rPr>
                        <w:rStyle w:val="77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70"/>
                        <w:color w:val="000000"/>
                      </w:rPr>
                      <w:fldChar w:fldCharType="separate"/>
                    </w:r>
                    <w:r>
                      <w:rPr>
                        <w:rStyle w:val="770"/>
                        <w:color w:val="000000"/>
                      </w:rPr>
                      <w:t xml:space="preserve">0</w:t>
                    </w:r>
                    <w:r>
                      <w:rPr>
                        <w:rStyle w:val="770"/>
                        <w:color w:val="000000"/>
                      </w:rPr>
                      <w:fldChar w:fldCharType="end"/>
                    </w:r>
                    <w:r>
                      <w:rPr>
                        <w:rStyle w:val="770"/>
                      </w:rPr>
                    </w:r>
                    <w:r>
                      <w:rPr>
                        <w:rStyle w:val="770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432"/>
        </w:tabs>
        <w:spacing/>
        <w:ind w:hanging="432" w:left="432"/>
      </w:pPr>
      <w:pStyle w:val="849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836"/>
        </w:tabs>
        <w:spacing/>
        <w:ind w:hanging="576" w:left="1836"/>
      </w:pPr>
      <w:pStyle w:val="850"/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127"/>
        </w:tabs>
        <w:spacing/>
        <w:ind w:firstLine="0" w:left="900"/>
      </w:pPr>
      <w:pStyle w:val="851"/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pStyle w:val="864"/>
      <w:rPr>
        <w:b/>
        <w:i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/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38">
    <w:name w:val="Heading 1"/>
    <w:basedOn w:val="737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739">
    <w:name w:val="Heading 2"/>
    <w:basedOn w:val="737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40">
    <w:name w:val="Heading 3"/>
    <w:basedOn w:val="737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741">
    <w:name w:val="Heading 4"/>
    <w:basedOn w:val="737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742">
    <w:name w:val="Heading 5"/>
    <w:basedOn w:val="737"/>
    <w:semiHidden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743">
    <w:name w:val="Heading 6"/>
    <w:basedOn w:val="737"/>
    <w:qFormat/>
    <w:pPr>
      <w:widowControl w:val="false"/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744">
    <w:name w:val="Heading 7"/>
    <w:basedOn w:val="73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qFormat/>
    <w:pPr>
      <w:pBdr/>
      <w:spacing w:after="60" w:before="240"/>
      <w:ind/>
      <w:outlineLvl w:val="7"/>
    </w:pPr>
    <w:rPr>
      <w:i/>
      <w:iCs/>
    </w:rPr>
  </w:style>
  <w:style w:type="paragraph" w:styleId="746">
    <w:name w:val="Heading 9"/>
    <w:basedOn w:val="7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9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757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58">
    <w:name w:val="Quote Char"/>
    <w:uiPriority w:val="29"/>
    <w:qFormat/>
    <w:pPr>
      <w:pBdr/>
      <w:spacing/>
      <w:ind/>
    </w:pPr>
    <w:rPr>
      <w:i/>
    </w:rPr>
  </w:style>
  <w:style w:type="character" w:styleId="759">
    <w:name w:val="Intense Quote Char"/>
    <w:uiPriority w:val="30"/>
    <w:qFormat/>
    <w:pPr>
      <w:pBdr/>
      <w:spacing/>
      <w:ind/>
    </w:pPr>
    <w:rPr>
      <w:i/>
    </w:rPr>
  </w:style>
  <w:style w:type="character" w:styleId="760">
    <w:name w:val="Header Char"/>
    <w:uiPriority w:val="99"/>
    <w:qFormat/>
    <w:pPr>
      <w:pBdr/>
      <w:spacing/>
      <w:ind/>
    </w:pPr>
  </w:style>
  <w:style w:type="character" w:styleId="761">
    <w:name w:val="Footer Char"/>
    <w:uiPriority w:val="99"/>
    <w:qFormat/>
    <w:pPr>
      <w:pBdr/>
      <w:spacing/>
      <w:ind/>
    </w:pPr>
  </w:style>
  <w:style w:type="character" w:styleId="762">
    <w:name w:val="Caption Char"/>
    <w:uiPriority w:val="99"/>
    <w:qFormat/>
    <w:pPr>
      <w:pBdr/>
      <w:spacing/>
      <w:ind/>
    </w:pPr>
  </w:style>
  <w:style w:type="character" w:styleId="763">
    <w:name w:val="Footnote Text Char"/>
    <w:uiPriority w:val="99"/>
    <w:qFormat/>
    <w:pPr>
      <w:pBdr/>
      <w:spacing/>
      <w:ind/>
    </w:pPr>
    <w:rPr>
      <w:sz w:val="18"/>
    </w:rPr>
  </w:style>
  <w:style w:type="character" w:styleId="764">
    <w:name w:val="Символ сноски"/>
    <w:uiPriority w:val="99"/>
    <w:unhideWhenUsed/>
    <w:qFormat/>
    <w:pPr>
      <w:pBdr/>
      <w:spacing/>
      <w:ind/>
    </w:pPr>
    <w:rPr>
      <w:vertAlign w:val="superscript"/>
    </w:rPr>
  </w:style>
  <w:style w:type="character" w:styleId="765">
    <w:name w:val="footnote reference"/>
    <w:pPr>
      <w:pBdr/>
      <w:spacing/>
      <w:ind/>
    </w:pPr>
    <w:rPr>
      <w:vertAlign w:val="superscript"/>
    </w:rPr>
  </w:style>
  <w:style w:type="character" w:styleId="766">
    <w:name w:val="Endnote Text Char"/>
    <w:uiPriority w:val="99"/>
    <w:qFormat/>
    <w:pPr>
      <w:pBdr/>
      <w:spacing/>
      <w:ind/>
    </w:pPr>
    <w:rPr>
      <w:sz w:val="20"/>
    </w:rPr>
  </w:style>
  <w:style w:type="character" w:styleId="767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8">
    <w:name w:val="endnote reference"/>
    <w:pPr>
      <w:pBdr/>
      <w:spacing/>
      <w:ind/>
    </w:pPr>
    <w:rPr>
      <w:vertAlign w:val="superscript"/>
    </w:rPr>
  </w:style>
  <w:style w:type="character" w:styleId="769">
    <w:name w:val="Основной шрифт абзаца"/>
    <w:semiHidden/>
    <w:qFormat/>
    <w:pPr>
      <w:pBdr/>
      <w:spacing/>
      <w:ind/>
    </w:pPr>
  </w:style>
  <w:style w:type="character" w:styleId="770">
    <w:name w:val="Page Number"/>
    <w:basedOn w:val="769"/>
    <w:pPr>
      <w:pBdr/>
      <w:spacing/>
      <w:ind/>
    </w:pPr>
  </w:style>
  <w:style w:type="character" w:styleId="771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72">
    <w:name w:val="A4+3"/>
    <w:qFormat/>
    <w:pPr>
      <w:pBdr/>
      <w:spacing/>
      <w:ind/>
    </w:pPr>
    <w:rPr>
      <w:i/>
      <w:iCs/>
      <w:color w:val="000000"/>
      <w:sz w:val="20"/>
      <w:szCs w:val="20"/>
    </w:rPr>
  </w:style>
  <w:style w:type="character" w:styleId="773">
    <w:name w:val="ConsNormal Знак"/>
    <w:qFormat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774">
    <w:name w:val="Знак сноски"/>
    <w:qFormat/>
    <w:pPr>
      <w:pBdr/>
      <w:spacing/>
      <w:ind/>
    </w:pPr>
    <w:rPr>
      <w:vertAlign w:val="superscript"/>
    </w:rPr>
  </w:style>
  <w:style w:type="character" w:styleId="775">
    <w:name w:val=" Знак Знак1"/>
    <w:semiHidden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76">
    <w:name w:val="Строгий"/>
    <w:qFormat/>
    <w:pPr>
      <w:pBdr/>
      <w:spacing/>
      <w:ind/>
    </w:pPr>
    <w:rPr>
      <w:b/>
      <w:bCs/>
    </w:rPr>
  </w:style>
  <w:style w:type="character" w:styleId="777">
    <w:name w:val=" Знак Знак2"/>
    <w:semiHidden/>
    <w:qFormat/>
    <w:pPr>
      <w:pBdr/>
      <w:spacing/>
      <w:ind/>
    </w:pPr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778">
    <w:name w:val=" Знак Знак3"/>
    <w:qFormat/>
    <w:pPr>
      <w:pBdr/>
      <w:spacing/>
      <w:ind/>
    </w:pPr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779">
    <w:name w:val=" Знак Знак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80">
    <w:name w:val="Заголовок 1 Знак2 Знак Знак,Заголовок 1 Знак1 Знак Знак Знак,Заголовок 1 Знак Знак Знак Знак Знак,Заголовок 1 Знак Знак1 Знак Знак Знак"/>
    <w:qFormat/>
    <w:pPr>
      <w:pBdr/>
      <w:spacing/>
      <w:ind/>
    </w:pPr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character" w:styleId="781">
    <w:name w:val="Заголовок 3 Знак"/>
    <w:qFormat/>
    <w:pPr>
      <w:pBdr/>
      <w:spacing/>
      <w:ind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82">
    <w:name w:val="Текст ТД Знак"/>
    <w:qFormat/>
    <w:pPr>
      <w:pBdr/>
      <w:spacing/>
      <w:ind/>
    </w:pPr>
    <w:rPr>
      <w:rFonts w:eastAsia="Calibri"/>
      <w:sz w:val="24"/>
      <w:szCs w:val="24"/>
      <w:lang w:eastAsia="en-US"/>
    </w:rPr>
  </w:style>
  <w:style w:type="character" w:styleId="783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784">
    <w:name w:val="Текст сноски Знак"/>
    <w:basedOn w:val="769"/>
    <w:qFormat/>
    <w:pPr>
      <w:pBdr/>
      <w:spacing/>
      <w:ind/>
    </w:pPr>
  </w:style>
  <w:style w:type="character" w:styleId="785">
    <w:name w:val="Нижний колонтитул Знак"/>
    <w:uiPriority w:val="99"/>
    <w:qFormat/>
    <w:pPr>
      <w:pBdr/>
      <w:spacing/>
      <w:ind/>
    </w:pPr>
    <w:rPr>
      <w:sz w:val="24"/>
      <w:szCs w:val="24"/>
    </w:rPr>
  </w:style>
  <w:style w:type="character" w:styleId="786">
    <w:name w:val="Стандартный HTML Знак"/>
    <w:qFormat/>
    <w:pPr>
      <w:pBdr/>
      <w:spacing/>
      <w:ind/>
    </w:pPr>
    <w:rPr>
      <w:rFonts w:ascii="Courier New" w:hAnsi="Courier New" w:cs="Courier New"/>
    </w:rPr>
  </w:style>
  <w:style w:type="character" w:styleId="787">
    <w:name w:val="Основной текст с отступом Знак"/>
    <w:qFormat/>
    <w:pPr>
      <w:pBdr/>
      <w:spacing/>
      <w:ind/>
    </w:pPr>
    <w:rPr>
      <w:color w:val="000000"/>
      <w:sz w:val="24"/>
      <w:szCs w:val="24"/>
    </w:rPr>
  </w:style>
  <w:style w:type="character" w:styleId="788">
    <w:name w:val="Выделение"/>
    <w:uiPriority w:val="20"/>
    <w:qFormat/>
    <w:pPr>
      <w:pBdr/>
      <w:spacing/>
      <w:ind/>
    </w:pPr>
    <w:rPr>
      <w:i/>
      <w:iCs/>
    </w:rPr>
  </w:style>
  <w:style w:type="character" w:styleId="789">
    <w:name w:val="Просмотренная гиперссылка"/>
    <w:qFormat/>
    <w:pPr>
      <w:pBdr/>
      <w:spacing/>
      <w:ind/>
    </w:pPr>
    <w:rPr>
      <w:color w:val="800080"/>
      <w:u w:val="single"/>
    </w:rPr>
  </w:style>
  <w:style w:type="character" w:styleId="790">
    <w:name w:val="Hyperlink"/>
    <w:pPr>
      <w:pBdr/>
      <w:spacing/>
      <w:ind/>
    </w:pPr>
    <w:rPr>
      <w:color w:val="000080"/>
      <w:u w:val="single"/>
    </w:rPr>
  </w:style>
  <w:style w:type="character" w:styleId="791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92">
    <w:name w:val="Заголовок"/>
    <w:basedOn w:val="737"/>
    <w:next w:val="793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93">
    <w:name w:val="Body Text"/>
    <w:basedOn w:val="737"/>
    <w:pPr>
      <w:pBdr/>
      <w:spacing w:after="140" w:before="0" w:line="276" w:lineRule="auto"/>
      <w:ind/>
    </w:pPr>
  </w:style>
  <w:style w:type="paragraph" w:styleId="794">
    <w:name w:val="List"/>
    <w:basedOn w:val="793"/>
    <w:pPr>
      <w:pBdr/>
      <w:spacing/>
      <w:ind/>
    </w:pPr>
    <w:rPr>
      <w:rFonts w:ascii="PT Astra Serif" w:hAnsi="PT Astra Serif" w:cs="Noto Sans Devanagari"/>
    </w:rPr>
  </w:style>
  <w:style w:type="paragraph" w:styleId="795">
    <w:name w:val="Caption"/>
    <w:basedOn w:val="737"/>
    <w:qFormat/>
    <w:pPr>
      <w:pBdr/>
      <w:spacing w:line="241" w:lineRule="atLeast"/>
      <w:ind/>
      <w:jc w:val="center"/>
    </w:pPr>
    <w:rPr>
      <w:b/>
      <w:color w:val="000000"/>
      <w:sz w:val="28"/>
      <w:szCs w:val="28"/>
    </w:rPr>
  </w:style>
  <w:style w:type="paragraph" w:styleId="796">
    <w:name w:val="Указатель"/>
    <w:basedOn w:val="737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97">
    <w:name w:val="toc 5"/>
    <w:basedOn w:val="737"/>
    <w:next w:val="737"/>
    <w:uiPriority w:val="39"/>
    <w:unhideWhenUsed/>
    <w:pPr>
      <w:pBdr/>
      <w:spacing w:after="57" w:before="0"/>
      <w:ind w:right="0" w:firstLine="0" w:left="1134"/>
    </w:pPr>
  </w:style>
  <w:style w:type="paragraph" w:styleId="798">
    <w:name w:val="toc 6"/>
    <w:basedOn w:val="737"/>
    <w:next w:val="737"/>
    <w:uiPriority w:val="39"/>
    <w:unhideWhenUsed/>
    <w:pPr>
      <w:pBdr/>
      <w:spacing w:after="57" w:before="0"/>
      <w:ind w:right="0" w:firstLine="0" w:left="1417"/>
    </w:pPr>
  </w:style>
  <w:style w:type="paragraph" w:styleId="799">
    <w:name w:val="toc 7"/>
    <w:basedOn w:val="737"/>
    <w:next w:val="737"/>
    <w:uiPriority w:val="39"/>
    <w:unhideWhenUsed/>
    <w:pPr>
      <w:pBdr/>
      <w:spacing w:after="57" w:before="0"/>
      <w:ind w:right="0" w:firstLine="0" w:left="1701"/>
    </w:pPr>
  </w:style>
  <w:style w:type="paragraph" w:styleId="800">
    <w:name w:val="toc 8"/>
    <w:basedOn w:val="737"/>
    <w:next w:val="737"/>
    <w:uiPriority w:val="39"/>
    <w:unhideWhenUsed/>
    <w:pPr>
      <w:pBdr/>
      <w:spacing w:after="57" w:before="0"/>
      <w:ind w:right="0" w:firstLine="0" w:left="1984"/>
    </w:pPr>
  </w:style>
  <w:style w:type="paragraph" w:styleId="801">
    <w:name w:val="toc 9"/>
    <w:basedOn w:val="737"/>
    <w:next w:val="737"/>
    <w:uiPriority w:val="39"/>
    <w:unhideWhenUsed/>
    <w:pPr>
      <w:pBdr/>
      <w:spacing w:after="57" w:before="0"/>
      <w:ind w:right="0" w:firstLine="0" w:left="2268"/>
    </w:pPr>
  </w:style>
  <w:style w:type="paragraph" w:styleId="802">
    <w:name w:val="List Paragraph"/>
    <w:basedOn w:val="737"/>
    <w:uiPriority w:val="34"/>
    <w:qFormat/>
    <w:pPr>
      <w:pBdr/>
      <w:spacing w:after="0" w:before="0"/>
      <w:ind w:firstLine="0" w:left="720"/>
      <w:contextualSpacing w:val="true"/>
    </w:pPr>
  </w:style>
  <w:style w:type="paragraph" w:styleId="803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04">
    <w:name w:val="Title"/>
    <w:basedOn w:val="73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5">
    <w:name w:val="Quote"/>
    <w:basedOn w:val="737"/>
    <w:uiPriority w:val="29"/>
    <w:qFormat/>
    <w:pPr>
      <w:pBdr/>
      <w:spacing/>
      <w:ind w:right="720" w:firstLine="0" w:left="720"/>
    </w:pPr>
    <w:rPr>
      <w:i/>
    </w:rPr>
  </w:style>
  <w:style w:type="paragraph" w:styleId="806">
    <w:name w:val="Intense Quote"/>
    <w:basedOn w:val="7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807">
    <w:name w:val="footnote text"/>
    <w:basedOn w:val="737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08">
    <w:name w:val="endnote text"/>
    <w:basedOn w:val="737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09">
    <w:name w:val="toc 2"/>
    <w:basedOn w:val="737"/>
    <w:uiPriority w:val="39"/>
    <w:unhideWhenUsed/>
    <w:pPr>
      <w:pBdr/>
      <w:spacing w:after="57" w:before="0"/>
      <w:ind w:right="0" w:firstLine="0" w:left="283"/>
    </w:pPr>
  </w:style>
  <w:style w:type="paragraph" w:styleId="810">
    <w:name w:val="toc 4"/>
    <w:basedOn w:val="737"/>
    <w:uiPriority w:val="39"/>
    <w:unhideWhenUsed/>
    <w:pPr>
      <w:pBdr/>
      <w:spacing w:after="57" w:before="0"/>
      <w:ind w:right="0" w:firstLine="0" w:left="850"/>
    </w:pPr>
  </w:style>
  <w:style w:type="paragraph" w:styleId="811">
    <w:name w:val="Index Heading"/>
    <w:basedOn w:val="792"/>
    <w:pPr>
      <w:pBdr/>
      <w:spacing/>
      <w:ind/>
    </w:pPr>
  </w:style>
  <w:style w:type="paragraph" w:styleId="812">
    <w:name w:val="TOC Heading"/>
    <w:uiPriority w:val="39"/>
    <w:unhideWhenUsed/>
    <w:pPr>
      <w:widowControl w:val="true"/>
      <w:pBdr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13">
    <w:name w:val="table of figures"/>
    <w:basedOn w:val="737"/>
    <w:uiPriority w:val="99"/>
    <w:unhideWhenUsed/>
    <w:qFormat/>
    <w:pPr>
      <w:pBdr/>
      <w:spacing w:after="0" w:afterAutospacing="0" w:before="0"/>
      <w:ind/>
    </w:pPr>
  </w:style>
  <w:style w:type="paragraph" w:styleId="814">
    <w:name w:val="Текст,Текст Знак"/>
    <w:basedOn w:val="737"/>
    <w:qFormat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15">
    <w:name w:val="Колонтитул"/>
    <w:basedOn w:val="737"/>
    <w:qFormat/>
    <w:pPr>
      <w:pBdr/>
      <w:spacing/>
      <w:ind/>
    </w:pPr>
  </w:style>
  <w:style w:type="paragraph" w:styleId="816">
    <w:name w:val="Header"/>
    <w:basedOn w:val="737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7">
    <w:name w:val="Footer"/>
    <w:basedOn w:val="737"/>
    <w:uiPriority w:val="9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8">
    <w:name w:val="Plain Text1"/>
    <w:basedOn w:val="737"/>
    <w:qFormat/>
    <w:pPr>
      <w:pBdr/>
      <w:spacing/>
      <w:ind/>
    </w:pPr>
    <w:rPr>
      <w:rFonts w:ascii="Courier New" w:hAnsi="Courier New"/>
      <w:szCs w:val="20"/>
    </w:rPr>
  </w:style>
  <w:style w:type="paragraph" w:styleId="819">
    <w:name w:val="Основной текст,Основной текст Знак Знак Знак,Основной текст Знак, Знак Знак Знак,Знак Знак Знак"/>
    <w:basedOn w:val="737"/>
    <w:qFormat/>
    <w:pPr>
      <w:pBdr/>
      <w:tabs>
        <w:tab w:val="clear" w:leader="none" w:pos="709"/>
        <w:tab w:val="left" w:leader="none" w:pos="3240"/>
      </w:tabs>
      <w:spacing w:line="241" w:lineRule="atLeast"/>
      <w:ind/>
      <w:jc w:val="both"/>
    </w:pPr>
    <w:rPr>
      <w:color w:val="000000"/>
    </w:rPr>
  </w:style>
  <w:style w:type="paragraph" w:styleId="820">
    <w:name w:val="Body Text Indent"/>
    <w:basedOn w:val="737"/>
    <w:pPr>
      <w:pBdr/>
      <w:spacing w:line="241" w:lineRule="atLeast"/>
      <w:ind w:firstLine="360"/>
      <w:jc w:val="both"/>
    </w:pPr>
    <w:rPr>
      <w:color w:val="000000"/>
      <w:lang w:val="en-US" w:eastAsia="en-US"/>
    </w:rPr>
  </w:style>
  <w:style w:type="paragraph" w:styleId="821">
    <w:name w:val="Subtitle"/>
    <w:basedOn w:val="737"/>
    <w:qFormat/>
    <w:pPr>
      <w:pBdr/>
      <w:spacing/>
      <w:ind/>
    </w:pPr>
    <w:rPr>
      <w:szCs w:val="20"/>
    </w:rPr>
  </w:style>
  <w:style w:type="paragraph" w:styleId="822">
    <w:name w:val="Основной текст с отступом 2"/>
    <w:basedOn w:val="737"/>
    <w:qFormat/>
    <w:pPr>
      <w:pBdr/>
      <w:shd w:val="clear" w:color="auto" w:fill="ffffff"/>
      <w:spacing/>
      <w:ind w:right="2" w:firstLine="360"/>
      <w:jc w:val="both"/>
    </w:pPr>
    <w:rPr>
      <w:spacing w:val="-2"/>
      <w:sz w:val="20"/>
    </w:rPr>
  </w:style>
  <w:style w:type="paragraph" w:styleId="823">
    <w:name w:val="Основной текст с отступом 3"/>
    <w:basedOn w:val="737"/>
    <w:qFormat/>
    <w:pPr>
      <w:widowControl w:val="false"/>
      <w:pBdr/>
      <w:shd w:val="clear" w:color="auto" w:fill="ffffff"/>
      <w:spacing/>
      <w:ind w:hanging="142" w:left="284"/>
      <w:jc w:val="both"/>
    </w:pPr>
  </w:style>
  <w:style w:type="paragraph" w:styleId="824">
    <w:name w:val="Body Text 22"/>
    <w:basedOn w:val="737"/>
    <w:qFormat/>
    <w:pPr>
      <w:pBdr/>
      <w:spacing/>
      <w:ind/>
      <w:jc w:val="both"/>
    </w:pPr>
    <w:rPr>
      <w:rFonts w:ascii="MS Sans Serif" w:hAnsi="MS Sans Serif"/>
      <w:sz w:val="22"/>
      <w:szCs w:val="20"/>
    </w:rPr>
  </w:style>
  <w:style w:type="paragraph" w:styleId="825">
    <w:name w:val="Pa8+2"/>
    <w:basedOn w:val="737"/>
    <w:qFormat/>
    <w:pPr>
      <w:pBdr/>
      <w:spacing w:line="241" w:lineRule="atLeast"/>
      <w:ind/>
    </w:pPr>
  </w:style>
  <w:style w:type="paragraph" w:styleId="826">
    <w:name w:val="Pa11+4"/>
    <w:basedOn w:val="737"/>
    <w:qFormat/>
    <w:pPr>
      <w:pBdr/>
      <w:spacing w:after="0" w:before="100" w:line="241" w:lineRule="atLeast"/>
      <w:ind/>
    </w:pPr>
  </w:style>
  <w:style w:type="paragraph" w:styleId="827">
    <w:name w:val="Pa13+3"/>
    <w:basedOn w:val="737"/>
    <w:qFormat/>
    <w:pPr>
      <w:pBdr/>
      <w:spacing w:after="0" w:before="200" w:line="241" w:lineRule="atLeast"/>
      <w:ind/>
    </w:pPr>
  </w:style>
  <w:style w:type="paragraph" w:styleId="828">
    <w:name w:val="Pa15+2"/>
    <w:basedOn w:val="737"/>
    <w:qFormat/>
    <w:pPr>
      <w:pBdr/>
      <w:spacing w:after="0" w:before="200" w:line="241" w:lineRule="atLeast"/>
      <w:ind/>
    </w:pPr>
  </w:style>
  <w:style w:type="paragraph" w:styleId="829">
    <w:name w:val="Pa5+3"/>
    <w:basedOn w:val="737"/>
    <w:qFormat/>
    <w:pPr>
      <w:pBdr/>
      <w:spacing w:line="241" w:lineRule="atLeast"/>
      <w:ind/>
    </w:pPr>
  </w:style>
  <w:style w:type="paragraph" w:styleId="830">
    <w:name w:val="Основной текст 2"/>
    <w:basedOn w:val="737"/>
    <w:qFormat/>
    <w:pPr>
      <w:pBdr/>
      <w:spacing/>
      <w:ind/>
      <w:jc w:val="both"/>
    </w:pPr>
    <w:rPr>
      <w:sz w:val="20"/>
      <w:szCs w:val="20"/>
    </w:rPr>
  </w:style>
  <w:style w:type="paragraph" w:styleId="831">
    <w:name w:val="ConsPlusNormal"/>
    <w:qFormat/>
    <w:pPr>
      <w:widowControl w:val="false"/>
      <w:pBdr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2">
    <w:name w:val="ConsNormal"/>
    <w:qFormat/>
    <w:pPr>
      <w:widowControl w:val="true"/>
      <w:pBdr/>
      <w:spacing w:after="0" w:before="0"/>
      <w:ind w:right="19772"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3">
    <w:name w:val="Body Text 3"/>
    <w:basedOn w:val="737"/>
    <w:qFormat/>
    <w:pPr>
      <w:pBdr/>
      <w:tabs>
        <w:tab w:val="left" w:leader="none" w:pos="426"/>
        <w:tab w:val="clear" w:leader="none" w:pos="709"/>
      </w:tabs>
      <w:spacing/>
      <w:ind/>
      <w:jc w:val="both"/>
    </w:pPr>
    <w:rPr>
      <w:rFonts w:ascii="Arial" w:hAnsi="Arial"/>
      <w:szCs w:val="20"/>
    </w:rPr>
  </w:style>
  <w:style w:type="paragraph" w:styleId="834">
    <w:name w:val="toc 3"/>
    <w:basedOn w:val="737"/>
    <w:semiHidden/>
    <w:pPr>
      <w:keepNext w:val="true"/>
      <w:keepLines w:val="true"/>
      <w:pBdr/>
      <w:tabs>
        <w:tab w:val="left" w:leader="none" w:pos="0"/>
        <w:tab w:val="clear" w:leader="none" w:pos="709"/>
        <w:tab w:val="right" w:leader="dot" w:pos="10080"/>
      </w:tabs>
      <w:spacing/>
      <w:ind/>
      <w:jc w:val="both"/>
    </w:pPr>
    <w:rPr>
      <w:szCs w:val="20"/>
    </w:rPr>
  </w:style>
  <w:style w:type="paragraph" w:styleId="835">
    <w:name w:val="Цитата"/>
    <w:basedOn w:val="737"/>
    <w:qFormat/>
    <w:pPr>
      <w:pBdr/>
      <w:spacing/>
      <w:ind w:right="-766" w:firstLine="0" w:left="-851"/>
      <w:jc w:val="both"/>
    </w:pPr>
    <w:rPr>
      <w:sz w:val="22"/>
      <w:szCs w:val="20"/>
    </w:rPr>
  </w:style>
  <w:style w:type="paragraph" w:styleId="836">
    <w:name w:val="Схема документа"/>
    <w:basedOn w:val="737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837">
    <w:name w:val="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38">
    <w:name w:val="ConsNonformat"/>
    <w:qFormat/>
    <w:pPr>
      <w:widowControl w:val="false"/>
      <w:pBdr/>
      <w:spacing w:after="0" w:before="0"/>
      <w:ind w:right="19772" w:firstLine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39">
    <w:name w:val="Пункт договора"/>
    <w:basedOn w:val="737"/>
    <w:qFormat/>
    <w:pPr>
      <w:keepLines w:val="true"/>
      <w:pBdr/>
      <w:tabs>
        <w:tab w:val="left" w:leader="none" w:pos="567"/>
        <w:tab w:val="clear" w:leader="none" w:pos="709"/>
      </w:tabs>
      <w:spacing/>
      <w:ind w:hanging="567" w:left="567"/>
      <w:jc w:val="both"/>
    </w:pPr>
    <w:rPr>
      <w:sz w:val="20"/>
      <w:szCs w:val="20"/>
    </w:rPr>
  </w:style>
  <w:style w:type="paragraph" w:styleId="840">
    <w:name w:val="Основной текст 3"/>
    <w:basedOn w:val="737"/>
    <w:qFormat/>
    <w:pPr>
      <w:pBdr/>
      <w:spacing w:after="120" w:before="0"/>
      <w:ind/>
    </w:pPr>
    <w:rPr>
      <w:sz w:val="16"/>
      <w:szCs w:val="16"/>
    </w:rPr>
  </w:style>
  <w:style w:type="paragraph" w:styleId="841">
    <w:name w:val="Normal1"/>
    <w:qFormat/>
    <w:pPr>
      <w:widowControl w:val="true"/>
      <w:pBdr/>
      <w:spacing w:after="0" w:before="0"/>
      <w:ind/>
      <w:jc w:val="left"/>
    </w:pPr>
    <w:rPr>
      <w:rFonts w:ascii="Arial" w:hAnsi="Arial" w:eastAsia="Times New Roman" w:cs="Times New Roman"/>
      <w:color w:val="auto"/>
      <w:sz w:val="18"/>
      <w:szCs w:val="20"/>
      <w:lang w:val="ru-RU" w:eastAsia="ru-RU" w:bidi="ar-SA"/>
    </w:rPr>
  </w:style>
  <w:style w:type="paragraph" w:styleId="842">
    <w:name w:val="toc 1"/>
    <w:basedOn w:val="737"/>
    <w:semiHidden/>
    <w:pPr>
      <w:pBdr/>
      <w:spacing/>
      <w:ind/>
    </w:pPr>
  </w:style>
  <w:style w:type="paragraph" w:styleId="843">
    <w:name w:val="Текст сноски"/>
    <w:basedOn w:val="737"/>
    <w:qFormat/>
    <w:pPr>
      <w:pBdr/>
      <w:spacing/>
      <w:ind/>
    </w:pPr>
    <w:rPr>
      <w:sz w:val="20"/>
      <w:szCs w:val="20"/>
    </w:rPr>
  </w:style>
  <w:style w:type="paragraph" w:styleId="844">
    <w:name w:val=" Знак1"/>
    <w:basedOn w:val="737"/>
    <w:qFormat/>
    <w:pPr>
      <w:pBdr/>
      <w:spacing w:after="160" w:before="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845">
    <w:name w:val="Знак"/>
    <w:basedOn w:val="737"/>
    <w:qFormat/>
    <w:pPr>
      <w:pBdr/>
      <w:spacing w:afterAutospacing="1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paragraph" w:styleId="846">
    <w:name w:val="Обычный (веб)"/>
    <w:basedOn w:val="737"/>
    <w:qFormat/>
    <w:pPr>
      <w:keepNext w:val="true"/>
      <w:pBdr/>
      <w:spacing/>
      <w:ind/>
    </w:pPr>
  </w:style>
  <w:style w:type="paragraph" w:styleId="847">
    <w:name w:val="Основной текст 21"/>
    <w:basedOn w:val="737"/>
    <w:qFormat/>
    <w:pPr>
      <w:widowControl w:val="false"/>
      <w:pBdr/>
      <w:spacing/>
      <w:ind/>
      <w:jc w:val="both"/>
    </w:pPr>
    <w:rPr>
      <w:rFonts w:cs="Arial"/>
      <w:szCs w:val="18"/>
    </w:rPr>
  </w:style>
  <w:style w:type="paragraph" w:styleId="848">
    <w:name w:val=" Знак Знак Знак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49">
    <w:name w:val="Стиль2"/>
    <w:qFormat/>
    <w:pPr>
      <w:keepNext w:val="true"/>
      <w:keepLines w:val="true"/>
      <w:widowControl w:val="true"/>
      <w:numPr>
        <w:ilvl w:val="0"/>
        <w:numId w:val="1"/>
      </w:numPr>
      <w:suppressLineNumbers w:val="true"/>
      <w:pBdr/>
      <w:tabs>
        <w:tab w:val="clear" w:leader="none" w:pos="709"/>
        <w:tab w:val="left" w:leader="none" w:pos="1836"/>
      </w:tabs>
      <w:spacing w:after="60" w:before="0"/>
      <w:ind w:hanging="576" w:left="1836"/>
      <w:jc w:val="both"/>
    </w:pPr>
    <w:rPr>
      <w:rFonts w:ascii="Times New Roman" w:hAnsi="Times New Roman" w:eastAsia="Tahoma" w:cs="Times New Roman"/>
      <w:b/>
      <w:color w:val="auto"/>
      <w:sz w:val="24"/>
      <w:szCs w:val="20"/>
      <w:lang w:val="ru-RU" w:eastAsia="zh-CN" w:bidi="hi-IN"/>
    </w:rPr>
  </w:style>
  <w:style w:type="paragraph" w:styleId="850">
    <w:name w:val="Нумерованный список 2"/>
    <w:basedOn w:val="737"/>
    <w:qFormat/>
    <w:pPr>
      <w:widowControl w:val="false"/>
      <w:numPr>
        <w:ilvl w:val="1"/>
        <w:numId w:val="1"/>
      </w:numPr>
      <w:pBdr/>
      <w:tabs>
        <w:tab w:val="left" w:leader="none" w:pos="432"/>
        <w:tab w:val="clear" w:leader="none" w:pos="709"/>
      </w:tabs>
      <w:spacing/>
      <w:ind w:hanging="432" w:left="432"/>
    </w:pPr>
    <w:rPr>
      <w:rFonts w:ascii="Arial" w:hAnsi="Arial" w:cs="Arial"/>
      <w:sz w:val="18"/>
      <w:szCs w:val="18"/>
    </w:rPr>
  </w:style>
  <w:style w:type="paragraph" w:styleId="851">
    <w:name w:val="Стиль3"/>
    <w:basedOn w:val="822"/>
    <w:qFormat/>
    <w:pPr>
      <w:widowControl w:val="false"/>
      <w:numPr>
        <w:ilvl w:val="2"/>
        <w:numId w:val="1"/>
      </w:numPr>
      <w:pBdr/>
      <w:shd w:val="clear" w:color="auto" w:fill="auto"/>
      <w:spacing/>
      <w:ind w:right="0" w:firstLine="360"/>
    </w:pPr>
    <w:rPr>
      <w:spacing w:val="0"/>
      <w:sz w:val="24"/>
      <w:szCs w:val="20"/>
    </w:rPr>
  </w:style>
  <w:style w:type="paragraph" w:styleId="852">
    <w:name w:val="Обычный (веб)1,Обычный (Web)1"/>
    <w:basedOn w:val="737"/>
    <w:qFormat/>
    <w:pPr>
      <w:keepNext w:val="true"/>
      <w:pBdr/>
      <w:spacing/>
      <w:ind/>
    </w:pPr>
    <w:rPr>
      <w:rFonts w:cs="Arial"/>
      <w:szCs w:val="18"/>
    </w:rPr>
  </w:style>
  <w:style w:type="paragraph" w:styleId="853">
    <w:name w:val="Заголовок 1.Заголовок 1 Знак1.Заголовок 1 Знак Знак.Заголовок 1 Знак Знак1.Заголовок 1 Знак.Заголовок 1 Знак2.Document Header1"/>
    <w:basedOn w:val="737"/>
    <w:qFormat/>
    <w:pPr>
      <w:keepNext w:val="true"/>
      <w:widowControl w:val="false"/>
      <w:pBdr/>
      <w:spacing w:after="0" w:before="60"/>
      <w:ind/>
      <w:jc w:val="center"/>
      <w:outlineLvl w:val="0"/>
    </w:pPr>
    <w:rPr>
      <w:b/>
      <w:szCs w:val="20"/>
    </w:rPr>
  </w:style>
  <w:style w:type="paragraph" w:styleId="854">
    <w:name w:val="FR1"/>
    <w:qFormat/>
    <w:pPr>
      <w:widowControl w:val="false"/>
      <w:pBdr/>
      <w:spacing w:after="0" w:before="380" w:line="1039" w:lineRule="auto"/>
      <w:ind w:right="6400" w:firstLine="0"/>
      <w:jc w:val="left"/>
    </w:pPr>
    <w:rPr>
      <w:rFonts w:ascii="Arial" w:hAnsi="Arial" w:eastAsia="Times New Roman" w:cs="Arial"/>
      <w:b/>
      <w:bCs/>
      <w:color w:val="auto"/>
      <w:sz w:val="22"/>
      <w:szCs w:val="22"/>
      <w:lang w:val="ru-RU" w:eastAsia="ru-RU" w:bidi="ar-SA"/>
    </w:rPr>
  </w:style>
  <w:style w:type="paragraph" w:styleId="855">
    <w:name w:val="Без интервала"/>
    <w:qFormat/>
    <w:pPr>
      <w:widowControl w:val="true"/>
      <w:pBdr/>
      <w:spacing w:after="0" w:before="0"/>
      <w:ind/>
      <w:jc w:val="left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856">
    <w:name w:val="Абзац списка"/>
    <w:basedOn w:val="737"/>
    <w:uiPriority w:val="34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857">
    <w:name w:val="Текст выноски"/>
    <w:basedOn w:val="737"/>
    <w:semiHidden/>
    <w:unhideWhenUsed/>
    <w:qFormat/>
    <w:pPr>
      <w:pBdr/>
      <w:spacing/>
      <w:ind/>
    </w:pPr>
    <w:rPr>
      <w:rFonts w:ascii="Tahoma" w:hAnsi="Tahoma" w:eastAsia="Calibri" w:cs="Tahoma"/>
      <w:sz w:val="16"/>
      <w:szCs w:val="16"/>
      <w:lang w:eastAsia="en-US"/>
    </w:rPr>
  </w:style>
  <w:style w:type="paragraph" w:styleId="858">
    <w:name w:val="Нормальный"/>
    <w:qFormat/>
    <w:pPr>
      <w:widowControl w:val="fals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59">
    <w:name w:val="Содержимое таблицы"/>
    <w:basedOn w:val="737"/>
    <w:qFormat/>
    <w:pPr>
      <w:widowControl w:val="false"/>
      <w:suppressLineNumbers w:val="true"/>
      <w:pBdr/>
      <w:spacing/>
      <w:ind/>
    </w:pPr>
    <w:rPr>
      <w:rFonts w:ascii="Arial" w:hAnsi="Arial"/>
      <w:lang w:eastAsia="en-US"/>
    </w:rPr>
  </w:style>
  <w:style w:type="paragraph" w:styleId="860">
    <w:name w:val="ConsPlu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61">
    <w:name w:val="Обычный (Web)"/>
    <w:basedOn w:val="737"/>
    <w:qFormat/>
    <w:pPr>
      <w:pBdr/>
      <w:spacing w:afterAutospacing="1" w:beforeAutospacing="1"/>
      <w:ind/>
    </w:pPr>
  </w:style>
  <w:style w:type="paragraph" w:styleId="862">
    <w:name w:val="Plain Text,Oaeno Ciae"/>
    <w:basedOn w:val="737"/>
    <w:qFormat/>
    <w:pPr>
      <w:widowControl w:val="false"/>
      <w:pBdr/>
      <w:spacing/>
      <w:ind/>
    </w:pPr>
    <w:rPr>
      <w:rFonts w:ascii="Courier New" w:hAnsi="Courier New"/>
      <w:sz w:val="20"/>
      <w:szCs w:val="20"/>
    </w:rPr>
  </w:style>
  <w:style w:type="paragraph" w:styleId="863">
    <w:name w:val=" Знак Знак Знак Знак Знак Знак1 Знак Знак Знак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64">
    <w:name w:val="Текст ТД"/>
    <w:basedOn w:val="737"/>
    <w:qFormat/>
    <w:pPr>
      <w:numPr>
        <w:ilvl w:val="0"/>
        <w:numId w:val="2"/>
      </w:numPr>
      <w:pBdr/>
      <w:spacing w:after="200" w:before="0"/>
      <w:ind/>
      <w:jc w:val="both"/>
    </w:pPr>
    <w:rPr>
      <w:rFonts w:eastAsia="Calibri"/>
      <w:lang w:val="en-US" w:eastAsia="en-US"/>
    </w:rPr>
  </w:style>
  <w:style w:type="paragraph" w:styleId="865">
    <w:name w:val="Стандартный HTML"/>
    <w:basedOn w:val="737"/>
    <w:qFormat/>
    <w:pPr>
      <w:pBdr/>
      <w:tabs>
        <w:tab w:val="clear" w:leader="none" w:pos="709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  <w:lang w:val="en-US" w:eastAsia="en-US"/>
    </w:rPr>
  </w:style>
  <w:style w:type="paragraph" w:styleId="866">
    <w:name w:val="Основно"/>
    <w:basedOn w:val="737"/>
    <w:qFormat/>
    <w:pPr>
      <w:widowControl w:val="false"/>
      <w:pBdr/>
      <w:spacing/>
      <w:ind/>
      <w:jc w:val="both"/>
    </w:pPr>
    <w:rPr>
      <w:szCs w:val="20"/>
    </w:rPr>
  </w:style>
  <w:style w:type="paragraph" w:styleId="867">
    <w:name w:val="style_13322268210000000501msoplaintext"/>
    <w:basedOn w:val="737"/>
    <w:qFormat/>
    <w:pPr>
      <w:pBdr/>
      <w:spacing w:afterAutospacing="1" w:beforeAutospacing="1"/>
      <w:ind/>
    </w:pPr>
  </w:style>
  <w:style w:type="paragraph" w:styleId="868">
    <w:name w:val="style_13322268210000000501msonormal"/>
    <w:basedOn w:val="737"/>
    <w:qFormat/>
    <w:pPr>
      <w:pBdr/>
      <w:spacing w:afterAutospacing="1" w:beforeAutospacing="1"/>
      <w:ind/>
    </w:pPr>
  </w:style>
  <w:style w:type="paragraph" w:styleId="869">
    <w:name w:val="TextBoldCenter"/>
    <w:basedOn w:val="737"/>
    <w:qFormat/>
    <w:pPr>
      <w:pBdr/>
      <w:spacing w:after="0" w:before="283"/>
      <w:ind/>
      <w:jc w:val="center"/>
    </w:pPr>
    <w:rPr>
      <w:rFonts w:eastAsia="Calibri"/>
      <w:b/>
      <w:bCs/>
      <w:sz w:val="26"/>
      <w:szCs w:val="26"/>
    </w:rPr>
  </w:style>
  <w:style w:type="paragraph" w:styleId="870">
    <w:name w:val="Содержимое врезки"/>
    <w:basedOn w:val="737"/>
    <w:qFormat/>
    <w:pPr>
      <w:pBdr/>
      <w:spacing/>
      <w:ind/>
    </w:pPr>
  </w:style>
  <w:style w:type="paragraph" w:styleId="871">
    <w:name w:val="Заголовок таблицы"/>
    <w:basedOn w:val="859"/>
    <w:qFormat/>
    <w:pPr>
      <w:suppressLineNumbers w:val="true"/>
      <w:pBdr/>
      <w:spacing/>
      <w:ind/>
      <w:jc w:val="center"/>
    </w:pPr>
    <w:rPr>
      <w:b/>
      <w:bCs/>
    </w:rPr>
  </w:style>
  <w:style w:type="paragraph" w:styleId="872" w:customStyle="1">
    <w:name w:val="Основной текст с отступом, Знак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 Знак3,Основной текст с отступом Знак1, Знак2,Знак,Знак3,Знак2"/>
    <w:basedOn w:val="824"/>
    <w:qFormat/>
    <w:pPr>
      <w:keepNext w:val="false"/>
      <w:keepLines w:val="false"/>
      <w:pageBreakBefore w:val="false"/>
      <w:widowControl w:val="true"/>
      <w:pBdr/>
      <w:shd w:val="nil"/>
      <w:spacing w:after="120" w:afterAutospacing="0" w:before="0" w:beforeAutospacing="0" w:line="240" w:lineRule="auto"/>
      <w:ind w:right="0" w:firstLine="0" w:left="283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u w:val="none"/>
      <w:vertAlign w:val="baseline"/>
      <w:lang w:val="ru-RU" w:eastAsia="ru-RU" w:bidi="ar-SA"/>
      <w14:ligatures w14:val="none"/>
    </w:rPr>
  </w:style>
  <w:style w:type="numbering" w:styleId="873">
    <w:name w:val="Нет списка"/>
    <w:semiHidden/>
    <w:qFormat/>
    <w:pPr>
      <w:pBdr/>
      <w:spacing/>
      <w:ind/>
    </w:pPr>
  </w:style>
  <w:style w:type="numbering" w:styleId="874" w:default="1">
    <w:name w:val="No List"/>
    <w:uiPriority w:val="99"/>
    <w:semiHidden/>
    <w:unhideWhenUsed/>
    <w:qFormat/>
    <w:pPr>
      <w:pBdr/>
      <w:spacing/>
      <w:ind/>
    </w:pPr>
  </w:style>
  <w:style w:type="table" w:styleId="875">
    <w:name w:val="Table Grid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Table Grid Light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000000" w:themeFill="text1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000000" w:themeFill="text1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000000" w:themeFill="text1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f81bd" w:themeFill="accent1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f81bd" w:themeFill="accent1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f81bd" w:themeFill="accent1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0504d" w:themeFill="accent2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0504d" w:themeFill="accent2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0504d" w:themeFill="accent2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9" w:themeFill="accent3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9" w:themeFill="accent3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9" w:themeFill="accent3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8064a2" w:themeFill="accent4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8064a2" w:themeFill="accent4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8064a2" w:themeFill="accent4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yperlink" Target="http://sale.zakazrf.ru/" TargetMode="External"/><Relationship Id="rId14" Type="http://schemas.openxmlformats.org/officeDocument/2006/relationships/hyperlink" Target="http://sale.zakazrf.ru/" TargetMode="External"/><Relationship Id="rId15" Type="http://schemas.openxmlformats.org/officeDocument/2006/relationships/hyperlink" Target="mailto:sale@mail.zakazrf.ru." TargetMode="External"/><Relationship Id="rId16" Type="http://schemas.openxmlformats.org/officeDocument/2006/relationships/hyperlink" Target="http://sale.zakazrf.ru/" TargetMode="External"/><Relationship Id="rId17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18" Type="http://schemas.openxmlformats.org/officeDocument/2006/relationships/hyperlink" Target="https://torgi.gov.ru/new/public" TargetMode="External"/><Relationship Id="rId19" Type="http://schemas.openxmlformats.org/officeDocument/2006/relationships/hyperlink" Target="http://sale.zakazrf.ru/" TargetMode="External"/><Relationship Id="rId20" Type="http://schemas.openxmlformats.org/officeDocument/2006/relationships/hyperlink" Target="https://torgi.gov.ru/new/public" TargetMode="External"/><Relationship Id="rId21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22" Type="http://schemas.openxmlformats.org/officeDocument/2006/relationships/hyperlink" Target="http://sale.zakazrf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111</dc:creator>
  <dc:description/>
  <dc:language>ru-RU</dc:language>
  <cp:revision>390</cp:revision>
  <dcterms:created xsi:type="dcterms:W3CDTF">2016-07-20T08:26:00Z</dcterms:created>
  <dcterms:modified xsi:type="dcterms:W3CDTF">2025-04-07T06:43:42Z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