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4"/>
        <w:keepNext w:val="true"/>
        <w:keepLines w:val="true"/>
        <w:pBdr/>
        <w:spacing w:after="0" w:before="0"/>
        <w:ind/>
        <w:contextualSpacing w:val="true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0" w:name="_Toc183693753"/>
      <w:r/>
      <w:bookmarkStart w:id="1" w:name="_Toc184377894"/>
      <w:r/>
      <w:bookmarkStart w:id="2" w:name="_Toc184397049"/>
      <w:r/>
      <w:bookmarkStart w:id="3" w:name="_Toc184461614"/>
      <w:r/>
      <w:bookmarkStart w:id="4" w:name="_Toc183681431"/>
      <w:r/>
      <w:bookmarkStart w:id="5" w:name="_Toc183681575"/>
      <w:r/>
      <w:bookmarkEnd w:id="0"/>
      <w:r/>
      <w:bookmarkEnd w:id="1"/>
      <w:r/>
      <w:bookmarkEnd w:id="2"/>
      <w:r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4"/>
      <w:r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О ПРОВЕДЕНИИ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14"/>
        <w:keepNext w:val="true"/>
        <w:keepLines w:val="true"/>
        <w:pBdr/>
        <w:spacing w:after="340" w:before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АУКЦИОНА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216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27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ОСНОВНЫЕ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32"/>
              <w:keepNext w:val="true"/>
              <w:keepLines w:val="true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Организатор аукциона (уполномоченный орган): </w:t>
            </w:r>
            <w:r>
              <w:rPr>
                <w:rFonts w:ascii="Tinos" w:hAnsi="Tinos" w:eastAsia="Calibri" w:cs="Times New Roman"/>
                <w:b w:val="0"/>
                <w:bCs w:val="0"/>
                <w:color w:val="000000"/>
                <w:sz w:val="21"/>
                <w:szCs w:val="21"/>
                <w:lang w:val="ru-RU" w:eastAsia="en-US" w:bidi="ar-SA"/>
              </w:rPr>
              <w:t xml:space="preserve">«МКУ ПИЗО</w:t>
            </w:r>
            <w:r>
              <w:rPr>
                <w:rFonts w:ascii="Tinos" w:hAnsi="Tinos" w:eastAsia="Arial" w:cs="Times New Roman" w:eastAsiaTheme="minorEastAsia"/>
                <w:b/>
                <w:bCs/>
                <w:color w:val="000000"/>
                <w:sz w:val="21"/>
                <w:szCs w:val="21"/>
                <w:lang w:val="ru-RU" w:eastAsia="en-US" w:bidi="en-US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Актанышского муниципального района РТ»</w:t>
            </w:r>
            <w:r>
              <w:rPr>
                <w:rFonts w:ascii="Tinos" w:hAnsi="Tinos" w:cs="Times New Roman"/>
                <w:b w:val="0"/>
                <w:bCs w:val="0"/>
                <w:color w:val="000000"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Место нахождения (почтовый адрес): </w:t>
            </w:r>
            <w:r>
              <w:rPr>
                <w:rFonts w:ascii="Tinos" w:hAnsi="Tinos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</w:rPr>
              <w:t xml:space="preserve">423737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a"/>
                <w:sz w:val="21"/>
                <w:szCs w:val="21"/>
                <w:lang w:val="ru-RU" w:eastAsia="ar-SA" w:bidi="en-US"/>
              </w:rPr>
              <w:t xml:space="preserve">Республика Татарстан, Актанышский район, с. Актаныш, пр. Ленина, д. 17.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keepNext w:val="true"/>
              <w:keepLines w:val="true"/>
              <w:widowControl w:val="false"/>
              <w:pBdr/>
              <w:spacing w:after="0" w:before="0" w:line="240" w:lineRule="auto"/>
              <w:ind w:right="0" w:firstLine="0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</w:rPr>
              <w:t xml:space="preserve">Контактные телефоны: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 w:eastAsia="Arial" w:cs="Times New Roman" w:eastAsiaTheme="minorEastAsia"/>
                <w:color w:val="000000"/>
                <w:sz w:val="21"/>
                <w:szCs w:val="21"/>
                <w:lang w:val="ru-RU" w:eastAsia="en-US" w:bidi="en-US"/>
              </w:rPr>
              <w:t xml:space="preserve">8(85552) 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3-44-33 </w:t>
            </w:r>
            <w:r>
              <w:rPr>
                <w:rFonts w:ascii="Tinos" w:hAnsi="Tinos" w:cs="Times New Roman"/>
                <w:color w:val="000000"/>
                <w:sz w:val="21"/>
                <w:szCs w:val="21"/>
                <w:lang w:val="ru-RU" w:eastAsia="en-US" w:bidi="ar-SA"/>
              </w:rPr>
              <w:t xml:space="preserve">Ильясова Айсылу Ильнаровна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, </w:t>
            </w:r>
            <w:r>
              <w:rPr>
                <w:rFonts w:ascii="Tinos" w:hAnsi="Tinos" w:eastAsia="Arial" w:cs="Times New Roman" w:eastAsiaTheme="minorEastAsia"/>
                <w:b w:val="0"/>
                <w:bCs w:val="0"/>
                <w:color w:val="000000"/>
                <w:sz w:val="21"/>
                <w:szCs w:val="21"/>
                <w:lang w:val="ru-RU" w:eastAsia="en-US" w:bidi="en-US"/>
              </w:rPr>
              <w:t xml:space="preserve">3-44-10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Зайнетдинов Булат Рифатович</w:t>
            </w:r>
            <w:r>
              <w:rPr>
                <w:rFonts w:ascii="Tinos" w:hAnsi="Tinos" w:eastAsia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32"/>
              <w:widowControl w:val="false"/>
              <w:pBdr/>
              <w:spacing w:after="0" w:before="0"/>
              <w:ind w:right="0" w:firstLine="0"/>
              <w:contextualSpacing w:val="true"/>
              <w:jc w:val="both"/>
              <w:rPr/>
            </w:pP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Ответственное лицо — </w:t>
            </w:r>
            <w:r>
              <w:rPr>
                <w:rStyle w:val="771"/>
                <w:rFonts w:ascii="Tinos" w:hAnsi="Tinos" w:eastAsia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  <w:t xml:space="preserve">Зайнетдинов Булат Рифатович</w:t>
            </w:r>
            <w:r>
              <w:rPr>
                <w:rStyle w:val="771"/>
                <w:rFonts w:ascii="Tinos" w:hAnsi="Tinos" w:cs="Times New Roman"/>
                <w:b/>
                <w:bCs/>
                <w:color w:val="000000"/>
                <w:sz w:val="21"/>
                <w:szCs w:val="21"/>
                <w:lang w:val="ru-RU" w:eastAsia="en-US" w:bidi="ar-SA"/>
              </w:rPr>
              <w:t xml:space="preserve">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Вид торгов: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Аукцион на право заключения договоров аренды земельного участка, находящегося в государственной собственности, в электронной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Аукцион проводится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bCs/>
                <w:sz w:val="21"/>
                <w:szCs w:val="21"/>
              </w:rPr>
              <w:t xml:space="preserve">Основание:</w:t>
            </w:r>
            <w:r>
              <w:rPr>
                <w:rFonts w:ascii="Tinos" w:hAnsi="Tinos" w:cs="Times New Roman"/>
                <w:b/>
                <w:bCs/>
                <w:color w:val="000000"/>
                <w:sz w:val="21"/>
                <w:szCs w:val="21"/>
                <w:shd w:val="clear" w:color="auto" w:fill="auto"/>
              </w:rPr>
              <w:t xml:space="preserve"> Распоряжение РИК АМР РТ от 28.03.2025 г. № 215-р.</w:t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1.3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Оператор электронной площадки: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АО «Агентство по государственному заказу Республики Татарстан».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Место нахождения (почтовый адрес): 420021, Республика Татарстан, г. Казань, ул. Московская, 55;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Контактные телефоны: (843)292-95-17 – Голованов Михаил Юрьевич, служба технической поддержки - (843)212-24-25.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Адрес электронной площадки, на которой будет проводиться аукцион в электронной форме,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утвержденной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13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 w:cs="Times New Roman"/>
                <w:sz w:val="21"/>
                <w:szCs w:val="21"/>
              </w:rPr>
              <w:t xml:space="preserve">.</w:t>
            </w:r>
            <w:r/>
          </w:p>
        </w:tc>
      </w:tr>
      <w:tr>
        <w:trPr>
          <w:trHeight w:val="11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ИНФОРМАЦИЯ О ЛОТЕ: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lef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eastAsia="Calibri"/>
                <w:b/>
                <w:bCs/>
                <w:sz w:val="21"/>
                <w:szCs w:val="21"/>
                <w:lang w:eastAsia="en-US"/>
              </w:rPr>
              <w:t xml:space="preserve">Предмет торгов (наименование лота) (характеристика лота):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eastAsia="Calibri"/>
                <w:b/>
                <w:bCs/>
                <w:i w:val="0"/>
                <w:iCs w:val="0"/>
                <w:color w:val="030303"/>
                <w:sz w:val="21"/>
                <w:szCs w:val="21"/>
                <w:lang w:eastAsia="en-US"/>
              </w:rPr>
              <w:t xml:space="preserve">Лот № 1:</w:t>
            </w:r>
            <w:r>
              <w:rPr>
                <w:rFonts w:ascii="Tinos" w:hAnsi="Tinos" w:eastAsia="Calibri"/>
                <w:b/>
                <w:bCs/>
                <w:i/>
                <w:color w:val="030303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Земельный участок, категория земель: земли </w:t>
            </w:r>
            <w:r>
              <w:rPr>
                <w:rFonts w:ascii="Tinos" w:hAnsi="Tinos" w:eastAsia="Calibri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eastAsia="en-US"/>
              </w:rPr>
              <w:t xml:space="preserve">сельскохозяйственного назначения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, разрешенное использование: </w:t>
            </w:r>
            <w:r>
              <w:rPr>
                <w:rFonts w:ascii="Tinos" w:hAnsi="Tinos" w:eastAsia="Calibri" w:cs="Arial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val="ru-RU" w:eastAsia="en-US"/>
              </w:rPr>
              <w:t xml:space="preserve">для сельскохозяйственного производства,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 общая площадь </w:t>
            </w:r>
            <w:r>
              <w:rPr>
                <w:rFonts w:ascii="Tinos" w:hAnsi="Tinos" w:eastAsia="Calibri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eastAsia="en-US"/>
              </w:rPr>
              <w:t xml:space="preserve">23 179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 кв.м., кадастровый номер </w:t>
            </w:r>
            <w:r>
              <w:rPr>
                <w:rFonts w:ascii="Tinos" w:hAnsi="Tinos" w:eastAsia="Calibri" w:cs="Arial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val="ru-RU" w:eastAsia="en-US"/>
              </w:rPr>
              <w:t xml:space="preserve">16:04:110701:502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, расположенный по адресу: </w:t>
            </w:r>
            <w:r>
              <w:rPr>
                <w:rFonts w:ascii="Tinos" w:hAnsi="Tinos" w:eastAsia="Calibri" w:cs="Arial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eastAsia="en-US"/>
              </w:rPr>
              <w:t xml:space="preserve">Республика Татарстан, Актанышский муниципальный район, Усинское сельское поселение</w:t>
            </w:r>
            <w:r>
              <w:rPr>
                <w:rFonts w:ascii="Tinos" w:hAnsi="Tinos" w:eastAsia="Calibri" w:cs="Arial"/>
                <w:bCs/>
                <w:color w:val="030303"/>
                <w:sz w:val="21"/>
                <w:szCs w:val="21"/>
                <w:lang w:eastAsia="en-US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Начальная цена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 </w:t>
            </w:r>
            <w:r>
              <w:rPr>
                <w:rFonts w:ascii="Tinos" w:hAnsi="Tinos" w:cs="Arial"/>
                <w:b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val="ru-RU"/>
              </w:rPr>
              <w:t xml:space="preserve">2 745</w:t>
            </w:r>
            <w:r>
              <w:rPr>
                <w:rFonts w:ascii="Tinos" w:hAnsi="Tinos"/>
                <w:color w:val="030303"/>
                <w:sz w:val="21"/>
                <w:szCs w:val="21"/>
                <w:shd w:val="clear" w:color="auto" w:fill="auto"/>
              </w:rPr>
              <w:t xml:space="preserve"> (две тысячи семьсот сорок пять) рублей 80 копеек.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Шаг аукциона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82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(восемьдесят два) рубля 37 копеек.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Сумма задатка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– </w:t>
            </w:r>
            <w:r>
              <w:rPr>
                <w:rFonts w:ascii="Tinos" w:hAnsi="Tinos" w:cs="Arial"/>
                <w:color w:val="000000"/>
                <w:sz w:val="21"/>
                <w:szCs w:val="21"/>
                <w:lang w:val="ru-RU"/>
              </w:rPr>
              <w:t xml:space="preserve">549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 (пятьсот сорок девять) рублей 16 копеек.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eastAsia="Calibri"/>
                <w:b/>
                <w:bCs/>
                <w:color w:val="030303"/>
                <w:sz w:val="21"/>
                <w:szCs w:val="21"/>
                <w:lang w:eastAsia="en-US"/>
              </w:rPr>
              <w:t xml:space="preserve">Права на земельный участок: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Согласно Выписке из Единого государственного реестра недвижимости об объекте недвижимости: 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государственная собственность на 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земельный участок 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не разграничена</w:t>
            </w:r>
            <w:r>
              <w:rPr>
                <w:rFonts w:ascii="Tinos" w:hAnsi="Tinos" w:eastAsia="Calibri"/>
                <w:bCs/>
                <w:color w:val="030303"/>
                <w:sz w:val="21"/>
                <w:szCs w:val="21"/>
                <w:lang w:eastAsia="en-US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30303"/>
                <w:sz w:val="21"/>
                <w:szCs w:val="21"/>
              </w:rPr>
              <w:t xml:space="preserve">Существующие ограничения (обременения) прав</w:t>
            </w:r>
            <w:r>
              <w:rPr>
                <w:rFonts w:ascii="Tinos" w:hAnsi="Tinos"/>
                <w:color w:val="030303"/>
                <w:sz w:val="21"/>
                <w:szCs w:val="21"/>
              </w:rPr>
              <w:t xml:space="preserve">: н</w:t>
            </w:r>
            <w:r>
              <w:rPr>
                <w:rFonts w:ascii="Tinos" w:hAnsi="Tinos" w:cs="Calibri"/>
                <w:color w:val="030303"/>
                <w:sz w:val="21"/>
                <w:szCs w:val="21"/>
              </w:rPr>
              <w:t xml:space="preserve">ет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2.2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keepNext w:val="true"/>
              <w:keepLines w:val="true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Сведения обо всех предыдущих торгах: </w:t>
            </w:r>
            <w:r>
              <w:rPr>
                <w:rFonts w:ascii="Tinos" w:hAnsi="Tinos" w:eastAsia="Calibri"/>
                <w:sz w:val="21"/>
                <w:szCs w:val="21"/>
              </w:rPr>
              <w:t xml:space="preserve">Аукцион проводится впервые.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 ИНФОРМАЦИЯ О ЗАДАТКЕ: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Срок и порядок внесения задатка. </w:t>
            </w:r>
            <w:r>
              <w:rPr>
                <w:rFonts w:ascii="Tinos" w:hAnsi="Tinos"/>
                <w:sz w:val="21"/>
                <w:szCs w:val="21"/>
              </w:rPr>
              <w:t xml:space="preserve">Сумма задатка для участия в аукционе (20 % от начальной цены лота) перечисляется (вносится) в течение срока приема заявок единым платежом на виртуальный счет Претендента, открытый при регистрации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69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0"/>
              <w:contextualSpacing w:val="true"/>
              <w:jc w:val="both"/>
              <w:outlineLvl w:val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 w:val="0"/>
                <w:sz w:val="21"/>
                <w:szCs w:val="21"/>
              </w:rPr>
              <w:t xml:space="preserve"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Данное со</w:t>
            </w:r>
            <w:r>
              <w:rPr>
                <w:rFonts w:ascii="Tinos" w:hAnsi="Tinos"/>
                <w:sz w:val="21"/>
                <w:szCs w:val="21"/>
              </w:rPr>
              <w:t xml:space="preserve">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победителем аукциона, засчитывается в счет оплаты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Банковские реквизиты счета для перечисления задатка: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  <w:r>
              <w:rPr>
                <w:rFonts w:ascii="Tinos" w:hAnsi="Tinos"/>
                <w:color w:val="000000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  <w:lang w:val="ru-RU" w:eastAsia="ru-RU"/>
              </w:rPr>
              <w:t xml:space="preserve">Возврат задатков участникам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lang w:val="ru-RU" w:eastAsia="ru-RU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д) в случае принятия решения об отказе в проведении аукциона – в течение 3 дней, со дня принятия данного решения.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При уклонении или отказе победителя аукциона от заключения договора аренды земельного участка,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задаток ему не возвращается.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3.4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При подаче заявки на участие в аукционе у участника на виртуальном счете должна иметься дополнительная сумма в размере 1,2% начальной цены предмета аукциона, но не более чем 6 000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На основании Приказа АО «Агентство по государственному заказу </w:t>
            </w: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Республики Татарстан» от 28.02.2023 № 2 - с 1 марта 2023 года при подаче заявок на участие в аукционах будет дополнительно блокироваться сумма в размере 1,2% начальной цены предмета аукциона, но не более 6000 (шесть тысяч) руб. 00 коп. (комиссия площадки).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color w:val="000000" w:themeColor="text1"/>
                <w:sz w:val="21"/>
                <w:szCs w:val="21"/>
              </w:rPr>
            </w:pPr>
            <w:r>
              <w:rPr>
                <w:rFonts w:ascii="Tinos" w:hAnsi="Tinos" w:cs="Times New Roman"/>
                <w:color w:val="000000" w:themeColor="text1"/>
                <w:sz w:val="21"/>
                <w:szCs w:val="21"/>
              </w:rPr>
              <w:t xml:space="preserve">Позднее у участника, заключившего договор, будет списана комиссия площадки.</w:t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  <w:r>
              <w:rPr>
                <w:rFonts w:ascii="Tinos" w:hAnsi="Tinos"/>
                <w:color w:val="000000" w:themeColor="text1"/>
                <w:sz w:val="21"/>
                <w:szCs w:val="21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IV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ТРЕБОВАНИЯ К ЗАЯВКАМ И К УЧАСТНИКАМ: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Требования к участникам:</w:t>
            </w:r>
            <w:r>
              <w:rPr>
                <w:rFonts w:ascii="Tinos" w:hAnsi="Tinos"/>
                <w:sz w:val="21"/>
                <w:szCs w:val="21"/>
              </w:rPr>
              <w:t xml:space="preserve"> Заявителями - участниками электронного аукциона могут быть любые физические и юридические лица.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Перечень представляемых участниками аукциона документов: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заявка на участие в аукционе по установленной форме;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платежный документ, подтверждающий внесение задатка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физические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предъявляют копию документа, удостоверяющего личность, согласие на обработку персональных данных;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юридические лица</w:t>
            </w:r>
            <w:r>
              <w:rPr>
                <w:rFonts w:ascii="Tinos" w:hAnsi="Tinos"/>
                <w:sz w:val="21"/>
                <w:szCs w:val="21"/>
              </w:rPr>
              <w:t xml:space="preserve"> предоставляют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Требования к оформлению документов: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Прилагаемые к заявке документы подаются в электронном виде (должны быть отсканированы).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3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4.4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Дата, время и порядок регистрации претендентов на участие в аукционе на Электронной площадке: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hyperlink r:id="rId14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 пользователь должен пройти процедуру аккредитации на электронной площадке.</w:t>
            </w:r>
            <w:r/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аккредитации размещена в разделе «Документы» см. «Инструкция по регистрации организации».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Инструкция по участию в аукционе размещена в разделе «Документы» см. «Инструкция участника».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Электронная площадка функционирует круглосуточно.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rFonts w:ascii="Tinos" w:hAnsi="Tinos"/>
                <w:color w:val="000000"/>
                <w:sz w:val="21"/>
                <w:szCs w:val="21"/>
                <w:shd w:val="clear" w:color="auto" w:fill="ffffff"/>
              </w:rPr>
              <w:t xml:space="preserve">с понедельника по пятницу с 8:30 до 16:00 по московскому времени </w:t>
            </w:r>
            <w:r>
              <w:rPr>
                <w:rFonts w:ascii="Tinos" w:hAnsi="Tinos"/>
                <w:sz w:val="21"/>
                <w:szCs w:val="21"/>
              </w:rPr>
              <w:t xml:space="preserve">в Службу тех.поддержки, тел.(843) 212-24-25, </w:t>
            </w:r>
            <w:hyperlink r:id="rId15" w:tooltip="mailto:sale@mail.zakazrf.ru." w:history="1"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  <w:shd w:val="clear" w:color="auto" w:fill="ffffff"/>
                </w:rPr>
                <w:t xml:space="preserve">sale@mail.zakazrf.ru</w:t>
              </w:r>
              <w:r>
                <w:rPr>
                  <w:rStyle w:val="771"/>
                  <w:rFonts w:ascii="Tinos" w:hAnsi="Tinos"/>
                  <w:color w:val="000000"/>
                  <w:sz w:val="21"/>
                  <w:szCs w:val="21"/>
                </w:rPr>
                <w:t xml:space="preserve">.</w:t>
              </w:r>
            </w:hyperlink>
            <w:r/>
            <w:r/>
          </w:p>
        </w:tc>
      </w:tr>
      <w:tr>
        <w:trPr>
          <w:trHeight w:val="3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УСЛОВИЯ ПРОВЕДЕНИЯ ПРОЦЕДУРЫ: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Порядок, место, даты начала и окончания подачи заявок: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Место подачи заявок: </w:t>
            </w:r>
            <w:r>
              <w:rPr>
                <w:rFonts w:ascii="Tinos" w:hAnsi="Tinos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начала приема заявок: 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7  апреля 2025 года в 17:00 часов</w:t>
            </w:r>
            <w:r>
              <w:rPr>
                <w:rFonts w:ascii="Tinos" w:hAnsi="Tinos"/>
                <w:b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Дата и время окончания приема заявок: 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b/>
                <w:sz w:val="21"/>
                <w:szCs w:val="21"/>
                <w:u w:val="single"/>
                <w:shd w:val="clear" w:color="auto" w:fill="auto"/>
              </w:rPr>
              <w:t xml:space="preserve">18 апреля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 2025 года в 17:00 часов</w:t>
            </w:r>
            <w:r>
              <w:rPr>
                <w:rFonts w:ascii="Tinos" w:hAnsi="Tinos"/>
                <w:b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sale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zakazrf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b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подачи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Одно лицо имеет право подать только одну заявку.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Заявка на участие в электронном аукци</w:t>
            </w:r>
            <w:r>
              <w:rPr>
                <w:rFonts w:ascii="Tinos" w:hAnsi="Tinos"/>
                <w:sz w:val="21"/>
                <w:szCs w:val="21"/>
              </w:rPr>
              <w:t xml:space="preserve">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Порядок отзыва заявки: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numPr>
                <w:ilvl w:val="0"/>
                <w:numId w:val="0"/>
              </w:numPr>
              <w:pBdr/>
              <w:spacing w:after="0" w:before="0"/>
              <w:ind w:firstLine="0" w:left="-31"/>
              <w:contextualSpacing w:val="true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День определения участников и рассмотрение заявок на участие в аукционе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21 апреля 2025 года</w:t>
            </w:r>
            <w:r/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Не позднее следующего дня после дня подписания пр</w:t>
            </w:r>
            <w:r>
              <w:rPr>
                <w:rFonts w:ascii="Tinos" w:hAnsi="Tinos"/>
                <w:sz w:val="21"/>
                <w:szCs w:val="21"/>
              </w:rPr>
              <w:t xml:space="preserve">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Причины отказа в допуске к участию в аукционе: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непредставление необходимых для участия в аукционе документов или представление недостоверных сведений;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 непоступление задатка на дату рассмотрения заявок на участие в аукционе;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наличие сведений о заявителе, об учредителях (</w:t>
            </w:r>
            <w:r>
              <w:rPr>
                <w:rFonts w:ascii="Tinos" w:hAnsi="Tinos"/>
                <w:sz w:val="21"/>
                <w:szCs w:val="21"/>
              </w:rPr>
              <w:t xml:space="preserve">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Место, дата и время проведения аукциона в электронной форме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:</w:t>
            </w:r>
            <w:r>
              <w:rPr>
                <w:rFonts w:ascii="Tinos" w:hAnsi="Tinos" w:cs="Times New Roman"/>
                <w:b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</w:r>
            <w:r>
              <w:rPr>
                <w:rFonts w:ascii="Tinos" w:hAnsi="Tinos" w:cs="Times New Roman"/>
                <w:b/>
                <w:bCs/>
                <w:sz w:val="21"/>
                <w:szCs w:val="21"/>
                <w:u w:val="single"/>
              </w:rPr>
            </w:r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  <w:t xml:space="preserve">22 апреля 2</w:t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025 года, начало в 09:00</w:t>
            </w:r>
            <w:r/>
            <w:r>
              <w:rPr>
                <w:rFonts w:ascii="Tinos" w:hAnsi="Tinos" w:cs="Times New Roman"/>
                <w:b/>
                <w:bCs/>
                <w:i/>
                <w:iCs/>
                <w:sz w:val="21"/>
                <w:szCs w:val="21"/>
                <w:u w:val="single"/>
                <w:shd w:val="clear" w:color="auto" w:fill="auto"/>
              </w:rPr>
            </w:r>
            <w:r>
              <w:rPr>
                <w:rFonts w:ascii="Tinos" w:hAnsi="Tinos" w:cs="Times New Roman"/>
                <w:b/>
                <w:i/>
                <w:sz w:val="21"/>
                <w:szCs w:val="21"/>
                <w:u w:val="single"/>
                <w:shd w:val="clear" w:color="auto" w:fill="auto"/>
              </w:rPr>
              <w:t xml:space="preserve">.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 Время проведения процедуры аукциона соответствует местному времени, в котором функционирует </w:t>
            </w:r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Электронная площадка АО «Агентство по государственному заказу Республики Татарстан» - </w:t>
            </w:r>
            <w:hyperlink r:id="rId16" w:tooltip="http://sale.zakazrf.ru/" w:history="1">
              <w:r>
                <w:rPr>
                  <w:rStyle w:val="771"/>
                  <w:rFonts w:ascii="Tinos" w:hAnsi="Tinos" w:cs="Times New Roman"/>
                  <w:sz w:val="21"/>
                  <w:szCs w:val="21"/>
                </w:rPr>
                <w:t xml:space="preserve">http://sale.zakazrf.ru/</w:t>
              </w:r>
            </w:hyperlink>
            <w:r>
              <w:rPr>
                <w:rFonts w:ascii="Tinos" w:hAnsi="Tinos" w:cs="Times New Roman"/>
                <w:color w:val="000000"/>
                <w:sz w:val="21"/>
                <w:szCs w:val="21"/>
              </w:rPr>
              <w:t xml:space="preserve">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проведения аукциона в электронной форме: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nos" w:hAnsi="Tinos" w:cs="Times New Roman"/>
                <w:sz w:val="21"/>
                <w:szCs w:val="21"/>
              </w:rPr>
              <w:t xml:space="preserve">Непосредственно принимать участие в аукционе могут только заявители, признанные участниками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В случае если в течение указанного времени: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</w:t>
            </w:r>
            <w:r>
              <w:rPr>
                <w:rFonts w:ascii="Tinos" w:hAnsi="Tinos"/>
                <w:sz w:val="21"/>
                <w:szCs w:val="21"/>
              </w:rPr>
              <w:t xml:space="preserve">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б) не поступил</w:t>
            </w:r>
            <w:r>
              <w:rPr>
                <w:rFonts w:ascii="Tinos" w:hAnsi="Tinos"/>
                <w:sz w:val="21"/>
                <w:szCs w:val="21"/>
              </w:rPr>
              <w:t xml:space="preserve">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5.4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Отказ от проведения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официальном сайте Актанышского муниципального района Республики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17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Fonts w:ascii="Tinos" w:hAnsi="Tinos"/>
                <w:sz w:val="21"/>
                <w:szCs w:val="21"/>
              </w:rPr>
              <w:t xml:space="preserve">,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18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Данное извещение после размещения на официальном сайте в автоматическом режиме направляется на электронную площадку </w:t>
            </w:r>
            <w:hyperlink r:id="rId19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 Оператор электронной площадки направляет в электронной форме уведомления об отказе в проведении аукциона, также возвращает задатки заявителям, подавшим заявки или участникам аукциона.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20"/>
              <w:widowControl w:val="false"/>
              <w:pBdr/>
              <w:spacing w:after="0" w:before="0" w:line="240" w:lineRule="auto"/>
              <w:ind w:firstLine="0"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  <w:lang w:val="en-US" w:eastAsia="ru-RU"/>
              </w:rPr>
              <w:t xml:space="preserve">VI</w:t>
            </w:r>
            <w:r>
              <w:rPr>
                <w:rFonts w:ascii="Tinos" w:hAnsi="Tinos"/>
                <w:b/>
                <w:sz w:val="21"/>
                <w:szCs w:val="21"/>
                <w:lang w:val="ru-RU" w:eastAsia="ru-RU"/>
              </w:rPr>
              <w:t xml:space="preserve">. ЗАКЛЮЧЕНИЕ ДОГОВОРА: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Лица, с которыми заключается договор аренды земельного участка: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sz w:val="21"/>
                <w:szCs w:val="21"/>
              </w:rPr>
              <w:t xml:space="preserve">- с победителем аукциона по предложенной им наибольшей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единственным заявителем, признанным участником аукциона, либо единственным принявшим участие в аукционе участником, а также единственным заяви</w:t>
            </w:r>
            <w:r>
              <w:rPr>
                <w:rFonts w:ascii="Tinos" w:hAnsi="Tinos"/>
                <w:sz w:val="21"/>
                <w:szCs w:val="21"/>
              </w:rPr>
              <w:t xml:space="preserve">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аукциона;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- 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  <w:t xml:space="preserve">Срок и условия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Не допускается заключение дог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"garantF1://890941.25746134"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u w:val="none"/>
              </w:rPr>
              <w:t xml:space="preserve">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HYPERLINK "https://torgi.gov.ru/new/public"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https://torgi.gov.ru/new/public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106bbe"/>
                <w:sz w:val="22"/>
                <w:szCs w:val="22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106bbe"/>
                <w:sz w:val="24"/>
                <w:szCs w:val="24"/>
                <w:highlight w:val="none"/>
              </w:rPr>
            </w:r>
          </w:p>
          <w:p>
            <w:pPr>
              <w:pStyle w:val="814"/>
              <w:keepNext w:val="true"/>
              <w:keepLines w:val="true"/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Победитель аукциона, или иное лицо, с которым заключается договор, обязан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заключ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договор аренды земельного участка</w:t>
            </w:r>
            <w:r>
              <w:rPr>
                <w:rFonts w:ascii="Times New Roman" w:hAnsi="Times New Roman" w:cs="Times New Roman"/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2e74b5"/>
                <w:sz w:val="24"/>
                <w:szCs w:val="24"/>
                <w:highlight w:val="none"/>
              </w:rPr>
            </w:r>
          </w:p>
          <w:p>
            <w:pPr>
              <w:pStyle w:val="737"/>
              <w:pBdr/>
              <w:spacing/>
              <w:ind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Если договор аренды земельного участка в </w:t>
            </w:r>
            <w:r>
              <w:rPr>
                <w:sz w:val="22"/>
                <w:szCs w:val="22"/>
                <w:highlight w:val="none"/>
              </w:rPr>
              <w:t xml:space="preserve">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не был подписан победителем аукциона, указанный договор заключ</w:t>
            </w:r>
            <w:r>
              <w:rPr>
                <w:sz w:val="22"/>
                <w:szCs w:val="22"/>
                <w:highlight w:val="none"/>
              </w:rPr>
              <w:t xml:space="preserve">ается с</w:t>
            </w:r>
            <w:r>
              <w:rPr>
                <w:sz w:val="22"/>
                <w:szCs w:val="22"/>
                <w:highlight w:val="none"/>
              </w:rPr>
              <w:t xml:space="preserve"> участник</w:t>
            </w:r>
            <w:r>
              <w:rPr>
                <w:sz w:val="22"/>
                <w:szCs w:val="22"/>
                <w:highlight w:val="none"/>
              </w:rPr>
              <w:t xml:space="preserve">ом</w:t>
            </w:r>
            <w:r>
              <w:rPr>
                <w:sz w:val="22"/>
                <w:szCs w:val="22"/>
                <w:highlight w:val="none"/>
              </w:rPr>
              <w:t xml:space="preserve"> аукциона, который сделал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по цене, предложенной таким участником.</w:t>
            </w:r>
            <w:r>
              <w:rPr>
                <w:sz w:val="22"/>
                <w:szCs w:val="22"/>
                <w:highlight w:val="none"/>
              </w:rPr>
              <w:t xml:space="preserve"> Участник аукциона, сделавший предпоследнее предложение о цене предмета аукциона, </w:t>
            </w:r>
            <w:r>
              <w:rPr>
                <w:sz w:val="22"/>
                <w:szCs w:val="22"/>
                <w:highlight w:val="none"/>
              </w:rPr>
              <w:t xml:space="preserve">обязан </w:t>
            </w:r>
            <w:r>
              <w:rPr>
                <w:sz w:val="22"/>
                <w:szCs w:val="22"/>
                <w:highlight w:val="none"/>
              </w:rPr>
              <w:t xml:space="preserve">в течение 10 (десяти) дней</w:t>
            </w:r>
            <w:r>
              <w:rPr>
                <w:sz w:val="22"/>
                <w:szCs w:val="22"/>
                <w:highlight w:val="none"/>
              </w:rPr>
              <w:t xml:space="preserve"> со дня размещения проекта договора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электронной площадке 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begin"/>
            </w:r>
            <w:r>
              <w:rPr>
                <w:sz w:val="22"/>
                <w:szCs w:val="22"/>
                <w:highlight w:val="none"/>
              </w:rPr>
              <w:instrText xml:space="preserve"> 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HYPERLINK</w:instrText>
            </w:r>
            <w:r>
              <w:rPr>
                <w:sz w:val="22"/>
                <w:szCs w:val="22"/>
                <w:highlight w:val="none"/>
              </w:rPr>
              <w:instrText xml:space="preserve"> "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http</w:instrText>
            </w:r>
            <w:r>
              <w:rPr>
                <w:sz w:val="22"/>
                <w:szCs w:val="22"/>
                <w:highlight w:val="none"/>
              </w:rPr>
              <w:instrText xml:space="preserve">://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sale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zakazrf</w:instrText>
            </w:r>
            <w:r>
              <w:rPr>
                <w:sz w:val="22"/>
                <w:szCs w:val="22"/>
                <w:highlight w:val="none"/>
              </w:rPr>
              <w:instrText xml:space="preserve">.</w:instrText>
            </w:r>
            <w:r>
              <w:rPr>
                <w:sz w:val="22"/>
                <w:szCs w:val="22"/>
                <w:highlight w:val="none"/>
                <w:lang w:val="en-US"/>
              </w:rPr>
              <w:instrText xml:space="preserve">ru</w:instrText>
            </w:r>
            <w:r>
              <w:rPr>
                <w:sz w:val="22"/>
                <w:szCs w:val="22"/>
                <w:highlight w:val="none"/>
              </w:rPr>
              <w:instrText xml:space="preserve">/" </w:instrTex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separate"/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http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://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sale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zakazrf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.</w:t>
            </w:r>
            <w:r>
              <w:rPr>
                <w:rStyle w:val="771"/>
                <w:sz w:val="22"/>
                <w:szCs w:val="22"/>
                <w:highlight w:val="none"/>
                <w:lang w:val="en-US"/>
              </w:rPr>
              <w:t xml:space="preserve">ru</w:t>
            </w:r>
            <w:r>
              <w:rPr>
                <w:rStyle w:val="771"/>
                <w:sz w:val="22"/>
                <w:szCs w:val="22"/>
                <w:highlight w:val="none"/>
              </w:rPr>
              <w:t xml:space="preserve">/</w:t>
            </w:r>
            <w:r>
              <w:rPr>
                <w:sz w:val="22"/>
                <w:szCs w:val="22"/>
                <w:highlight w:val="none"/>
                <w:lang w:val="en-US"/>
              </w:rPr>
              <w:fldChar w:fldCharType="end"/>
            </w:r>
            <w:r>
              <w:rPr>
                <w:sz w:val="22"/>
                <w:szCs w:val="22"/>
                <w:highlight w:val="none"/>
              </w:rPr>
              <w:t xml:space="preserve"> заключить договор аренды земельного участка</w:t>
            </w:r>
            <w:r>
              <w:rPr>
                <w:color w:val="2e74b5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в электронной форме, подписав его усиленной квалифицированной электронной подписью.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6.3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Оплата по договору производится в течение 30 (тридцати) дней со дня заключения договора аренды земельного участка на счет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03100643000000011100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ЕКС №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40102810445370000079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 КБК: 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17011105013050000120</w:t>
            </w:r>
            <w:r>
              <w:rPr>
                <w:rFonts w:ascii="Tinos" w:hAnsi="Tinos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 УФК по РТ (Палата имущественных и земельных отношений Актанышского муниципального района) ИНН 1604006938; КПП: 160401001; в отделение - НБ РТ г.Казани, БИК 019205400</w:t>
            </w:r>
            <w:r>
              <w:rPr>
                <w:rFonts w:ascii="Tinos" w:hAnsi="Tinos"/>
                <w:sz w:val="21"/>
                <w:szCs w:val="21"/>
              </w:rPr>
              <w:t xml:space="preserve">, ОКТМО: </w:t>
            </w:r>
            <w:r>
              <w:rPr>
                <w:color w:val="000000"/>
                <w:sz w:val="21"/>
                <w:szCs w:val="21"/>
              </w:rPr>
              <w:t xml:space="preserve">92605000</w:t>
            </w:r>
            <w:r>
              <w:rPr>
                <w:rFonts w:ascii="Tinos" w:hAnsi="Tinos"/>
                <w:sz w:val="21"/>
              </w:rPr>
            </w:r>
            <w:r>
              <w:rPr>
                <w:rFonts w:ascii="Tinos" w:hAnsi="Tinos"/>
                <w:sz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 w:cs="Times New Roman"/>
                <w:b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  <w:r>
              <w:rPr>
                <w:rFonts w:ascii="Tinos" w:hAnsi="Tinos" w:cs="Times New Roman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договора аренды земельного участка, засчитывается в счет арендной платы за земельный участок.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6.4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/>
              <w:ind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Сведения о победителе аукциона, либо</w:t>
            </w:r>
            <w:r>
              <w:rPr>
                <w:rFonts w:ascii="Tinos" w:hAnsi="Tinos" w:cs="Arial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ином лице, с которым заключается договор, уклонившемся от заключения договора аренды земельного участка, включаются в реестр недобросовестных участников аукциона и исключаются из реестра по истечении двух лет со дня их внесения.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  <w:lang w:val="en-US"/>
              </w:rPr>
              <w:t xml:space="preserve">VII</w:t>
            </w: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. ДОПОЛНИТЕЛЬНЫЕ СВЕДЕНИЯ: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7.1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 xml:space="preserve">Дополнительная информация: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1. Документооборот между Претенде</w:t>
            </w:r>
            <w:r>
              <w:rPr>
                <w:rFonts w:ascii="Tinos" w:hAnsi="Tinos"/>
                <w:sz w:val="21"/>
                <w:szCs w:val="21"/>
              </w:rPr>
              <w:t xml:space="preserve">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 w:firstLine="0" w:left="-31"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 xml:space="preserve"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7.2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814"/>
              <w:widowControl w:val="false"/>
              <w:pBdr/>
              <w:spacing w:after="0" w:before="0"/>
              <w:ind/>
              <w:contextualSpacing w:val="true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 w:cs="Times New Roman"/>
                <w:b/>
                <w:sz w:val="21"/>
                <w:szCs w:val="21"/>
              </w:rPr>
              <w:t xml:space="preserve">Порядок ознакомления участника с условием договора аренды, с дополнительной информацией о предмете аукциона:</w:t>
            </w:r>
            <w:r>
              <w:rPr>
                <w:rFonts w:ascii="Tinos" w:hAnsi="Tinos"/>
                <w:sz w:val="21"/>
                <w:szCs w:val="21"/>
              </w:rPr>
            </w:r>
            <w:r>
              <w:rPr>
                <w:rFonts w:ascii="Tinos" w:hAnsi="Tinos"/>
                <w:sz w:val="21"/>
                <w:szCs w:val="21"/>
              </w:rPr>
            </w:r>
          </w:p>
          <w:p>
            <w:pPr>
              <w:pStyle w:val="737"/>
              <w:widowControl w:val="false"/>
              <w:pBdr/>
              <w:spacing w:after="0" w:before="0"/>
              <w:ind/>
              <w:contextualSpacing w:val="true"/>
              <w:jc w:val="both"/>
              <w:rPr/>
            </w:pPr>
            <w:r>
              <w:rPr>
                <w:rFonts w:ascii="Tinos" w:hAnsi="Tinos"/>
                <w:sz w:val="21"/>
                <w:szCs w:val="21"/>
              </w:rPr>
              <w:t xml:space="preserve">Проект договора аренды земельного участка 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и доп. информация</w:t>
            </w:r>
            <w:r>
              <w:rPr>
                <w:rFonts w:ascii="Tinos" w:hAnsi="Tinos"/>
                <w:sz w:val="21"/>
                <w:szCs w:val="21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hyperlink r:id="rId20" w:tooltip="https://torgi.gov.ru/new/public" w:history="1"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https://torgi.gov.ru/new/public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,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на</w:t>
            </w:r>
            <w:r>
              <w:rPr>
                <w:rFonts w:ascii="Tinos" w:hAnsi="Tinos"/>
                <w:b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sz w:val="21"/>
                <w:szCs w:val="21"/>
              </w:rPr>
              <w:t xml:space="preserve">сайте Актанышского муниципального района Республика Татарстан </w:t>
            </w:r>
            <w:r>
              <w:rPr>
                <w:rFonts w:ascii="Tinos" w:hAnsi="Tinos" w:eastAsia="Calibri" w:cs="Times New Roman"/>
                <w:b w:val="0"/>
                <w:bCs w:val="0"/>
                <w:color w:val="1521a7"/>
                <w:sz w:val="21"/>
                <w:szCs w:val="21"/>
                <w:lang w:val="ru-RU" w:eastAsia="en-US" w:bidi="ar-SA"/>
              </w:rPr>
              <w:t xml:space="preserve">http://</w:t>
            </w:r>
            <w:hyperlink r:id="rId21" w:tooltip="../../../../home/aysylu/Desktops/Desktop1/Новое%202024/АУКЦИОН%202024%20/ТРАНСПОРТ%202/ТОРГИ%20АВТО%202%20поток/aktanysh.tatarstan.ru" w:history="1"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aktanysh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tatarstan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ru-RU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</w:t>
              </w:r>
              <w:r>
                <w:rPr>
                  <w:rStyle w:val="790"/>
                  <w:rFonts w:ascii="Tinos" w:hAnsi="Tinos" w:eastAsia="Arial" w:cs="Times New Roman" w:eastAsiaTheme="minorEastAsia"/>
                  <w:b w:val="0"/>
                  <w:bCs w:val="0"/>
                  <w:color w:val="1521a7"/>
                  <w:sz w:val="21"/>
                  <w:szCs w:val="21"/>
                  <w:u w:val="none"/>
                  <w:lang w:val="en-US" w:eastAsia="en-US" w:bidi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ru</w:t>
              </w:r>
            </w:hyperlink>
            <w:r>
              <w:rPr>
                <w:rFonts w:ascii="Tinos" w:hAnsi="Tinos" w:eastAsia="Arial" w:cs="Times New Roman" w:eastAsiaTheme="minorEastAsia"/>
                <w:b w:val="0"/>
                <w:bCs w:val="0"/>
                <w:color w:val="1521a7"/>
                <w:sz w:val="21"/>
                <w:szCs w:val="21"/>
                <w:lang w:val="ru-RU" w:eastAsia="en-US" w:bidi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</w:t>
            </w:r>
            <w:r>
              <w:rPr>
                <w:rFonts w:ascii="Tinos" w:hAnsi="Tinos" w:eastAsia="Times New Roman" w:cs="Times New Roman"/>
                <w:b w:val="0"/>
                <w:bCs w:val="0"/>
                <w:color w:val="00000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  <w:r>
              <w:rPr>
                <w:rStyle w:val="771"/>
                <w:rFonts w:ascii="Tinos" w:hAnsi="Tinos"/>
                <w:color w:val="000000"/>
                <w:sz w:val="21"/>
                <w:szCs w:val="21"/>
                <w:u w:val="none"/>
              </w:rPr>
              <w:t xml:space="preserve">,</w:t>
            </w:r>
            <w:r>
              <w:rPr>
                <w:rFonts w:ascii="Tinos" w:hAnsi="Tinos"/>
                <w:sz w:val="21"/>
                <w:szCs w:val="21"/>
              </w:rPr>
              <w:t xml:space="preserve"> на Электронной площадке - </w:t>
            </w:r>
            <w:hyperlink r:id="rId22" w:tooltip="http://sale.zakazrf.ru/" w:history="1"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http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://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sale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zakazrf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.</w:t>
              </w:r>
              <w:r>
                <w:rPr>
                  <w:rStyle w:val="771"/>
                  <w:rFonts w:ascii="Tinos" w:hAnsi="Tinos"/>
                  <w:sz w:val="21"/>
                  <w:szCs w:val="21"/>
                  <w:lang w:val="en-US"/>
                </w:rPr>
                <w:t xml:space="preserve">ru</w:t>
              </w:r>
              <w:r>
                <w:rPr>
                  <w:rStyle w:val="771"/>
                  <w:rFonts w:ascii="Tinos" w:hAnsi="Tinos"/>
                  <w:sz w:val="21"/>
                  <w:szCs w:val="21"/>
                </w:rPr>
                <w:t xml:space="preserve">/</w:t>
              </w:r>
            </w:hyperlink>
            <w:r>
              <w:rPr>
                <w:rFonts w:ascii="Tinos" w:hAnsi="Tinos"/>
                <w:sz w:val="21"/>
                <w:szCs w:val="21"/>
              </w:rPr>
              <w:t xml:space="preserve">.</w:t>
            </w:r>
            <w:r/>
          </w:p>
        </w:tc>
      </w:tr>
    </w:tbl>
    <w:p>
      <w:pPr>
        <w:pStyle w:val="737"/>
        <w:pBdr/>
        <w:spacing/>
        <w:ind/>
        <w:rPr/>
      </w:pPr>
      <w:r/>
      <w:bookmarkStart w:id="10" w:name="_Toc183693753_Копия_1"/>
      <w:r/>
      <w:bookmarkStart w:id="11" w:name="_Toc184377894_Копия_1"/>
      <w:r/>
      <w:bookmarkStart w:id="12" w:name="_Toc184397049_Копия_1"/>
      <w:r/>
      <w:bookmarkStart w:id="13" w:name="_Toc184461614_Копия_1"/>
      <w:r/>
      <w:bookmarkEnd w:id="10"/>
      <w:r/>
      <w:bookmarkEnd w:id="11"/>
      <w:r/>
      <w:bookmarkEnd w:id="12"/>
      <w:r/>
      <w:bookmarkEnd w:id="13"/>
      <w:r/>
      <w:r/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766" w:right="567" w:bottom="766" w:left="85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17"/>
                            <w:pBdr/>
                            <w:spacing/>
                            <w:ind/>
                            <w:rPr>
                              <w:rStyle w:val="770"/>
                            </w:rPr>
                          </w:pPr>
                          <w:r>
                            <w:rPr>
                              <w:rStyle w:val="77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7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70"/>
                            </w:rPr>
                          </w:r>
                          <w:r>
                            <w:rPr>
                              <w:rStyle w:val="77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17"/>
                      <w:pBdr/>
                      <w:spacing/>
                      <w:ind/>
                      <w:rPr>
                        <w:rStyle w:val="770"/>
                      </w:rPr>
                    </w:pPr>
                    <w:r>
                      <w:rPr>
                        <w:rStyle w:val="770"/>
                        <w:color w:val="000000"/>
                      </w:rPr>
                      <w:fldChar w:fldCharType="begin"/>
                    </w:r>
                    <w:r>
                      <w:rPr>
                        <w:rStyle w:val="77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70"/>
                        <w:color w:val="000000"/>
                      </w:rPr>
                      <w:fldChar w:fldCharType="separate"/>
                    </w:r>
                    <w:r>
                      <w:rPr>
                        <w:rStyle w:val="770"/>
                        <w:color w:val="000000"/>
                      </w:rPr>
                      <w:t xml:space="preserve">0</w:t>
                    </w:r>
                    <w:r>
                      <w:rPr>
                        <w:rStyle w:val="770"/>
                        <w:color w:val="000000"/>
                      </w:rPr>
                      <w:fldChar w:fldCharType="end"/>
                    </w:r>
                    <w:r>
                      <w:rPr>
                        <w:rStyle w:val="770"/>
                      </w:rPr>
                    </w:r>
                    <w:r>
                      <w:rPr>
                        <w:rStyle w:val="77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432"/>
        </w:tabs>
        <w:spacing/>
        <w:ind w:hanging="432" w:left="432"/>
      </w:pPr>
      <w:pStyle w:val="849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836"/>
        </w:tabs>
        <w:spacing/>
        <w:ind w:hanging="576" w:left="1836"/>
      </w:pPr>
      <w:pStyle w:val="850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27"/>
        </w:tabs>
        <w:spacing/>
        <w:ind w:firstLine="0" w:left="900"/>
      </w:pPr>
      <w:pStyle w:val="851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pStyle w:val="864"/>
      <w:rPr>
        <w:b/>
        <w:i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/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38">
    <w:name w:val="Heading 1"/>
    <w:basedOn w:val="737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39">
    <w:name w:val="Heading 2"/>
    <w:basedOn w:val="73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40">
    <w:name w:val="Heading 3"/>
    <w:basedOn w:val="737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741">
    <w:name w:val="Heading 4"/>
    <w:basedOn w:val="737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742">
    <w:name w:val="Heading 5"/>
    <w:basedOn w:val="737"/>
    <w:semiHidden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743">
    <w:name w:val="Heading 6"/>
    <w:basedOn w:val="737"/>
    <w:qFormat/>
    <w:pPr>
      <w:widowControl w:val="false"/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744">
    <w:name w:val="Heading 7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37"/>
    <w:qFormat/>
    <w:pPr>
      <w:pBdr/>
      <w:spacing w:after="60" w:before="240"/>
      <w:ind/>
      <w:outlineLvl w:val="7"/>
    </w:pPr>
    <w:rPr>
      <w:i/>
      <w:iCs/>
    </w:rPr>
  </w:style>
  <w:style w:type="paragraph" w:styleId="746">
    <w:name w:val="Heading 9"/>
    <w:basedOn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9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757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758">
    <w:name w:val="Quote Char"/>
    <w:uiPriority w:val="29"/>
    <w:qFormat/>
    <w:pPr>
      <w:pBdr/>
      <w:spacing/>
      <w:ind/>
    </w:pPr>
    <w:rPr>
      <w:i/>
    </w:rPr>
  </w:style>
  <w:style w:type="character" w:styleId="759">
    <w:name w:val="Intense Quote Char"/>
    <w:uiPriority w:val="30"/>
    <w:qFormat/>
    <w:pPr>
      <w:pBdr/>
      <w:spacing/>
      <w:ind/>
    </w:pPr>
    <w:rPr>
      <w:i/>
    </w:rPr>
  </w:style>
  <w:style w:type="character" w:styleId="760">
    <w:name w:val="Header Char"/>
    <w:uiPriority w:val="99"/>
    <w:qFormat/>
    <w:pPr>
      <w:pBdr/>
      <w:spacing/>
      <w:ind/>
    </w:pPr>
  </w:style>
  <w:style w:type="character" w:styleId="761">
    <w:name w:val="Footer Char"/>
    <w:uiPriority w:val="99"/>
    <w:qFormat/>
    <w:pPr>
      <w:pBdr/>
      <w:spacing/>
      <w:ind/>
    </w:pPr>
  </w:style>
  <w:style w:type="character" w:styleId="762">
    <w:name w:val="Caption Char"/>
    <w:uiPriority w:val="99"/>
    <w:qFormat/>
    <w:pPr>
      <w:pBdr/>
      <w:spacing/>
      <w:ind/>
    </w:pPr>
  </w:style>
  <w:style w:type="character" w:styleId="763">
    <w:name w:val="Footnote Text Char"/>
    <w:uiPriority w:val="99"/>
    <w:qFormat/>
    <w:pPr>
      <w:pBdr/>
      <w:spacing/>
      <w:ind/>
    </w:pPr>
    <w:rPr>
      <w:sz w:val="18"/>
    </w:rPr>
  </w:style>
  <w:style w:type="character" w:styleId="764">
    <w:name w:val="Символ сноски"/>
    <w:uiPriority w:val="99"/>
    <w:unhideWhenUsed/>
    <w:qFormat/>
    <w:pPr>
      <w:pBdr/>
      <w:spacing/>
      <w:ind/>
    </w:pPr>
    <w:rPr>
      <w:vertAlign w:val="superscript"/>
    </w:rPr>
  </w:style>
  <w:style w:type="character" w:styleId="765">
    <w:name w:val="footnote reference"/>
    <w:pPr>
      <w:pBdr/>
      <w:spacing/>
      <w:ind/>
    </w:pPr>
    <w:rPr>
      <w:vertAlign w:val="superscript"/>
    </w:rPr>
  </w:style>
  <w:style w:type="character" w:styleId="766">
    <w:name w:val="Endnote Text Char"/>
    <w:uiPriority w:val="99"/>
    <w:qFormat/>
    <w:pPr>
      <w:pBdr/>
      <w:spacing/>
      <w:ind/>
    </w:pPr>
    <w:rPr>
      <w:sz w:val="20"/>
    </w:rPr>
  </w:style>
  <w:style w:type="character" w:styleId="767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8">
    <w:name w:val="endnote reference"/>
    <w:pPr>
      <w:pBdr/>
      <w:spacing/>
      <w:ind/>
    </w:pPr>
    <w:rPr>
      <w:vertAlign w:val="superscript"/>
    </w:rPr>
  </w:style>
  <w:style w:type="character" w:styleId="769">
    <w:name w:val="Основной шрифт абзаца"/>
    <w:semiHidden/>
    <w:qFormat/>
    <w:pPr>
      <w:pBdr/>
      <w:spacing/>
      <w:ind/>
    </w:pPr>
  </w:style>
  <w:style w:type="character" w:styleId="770">
    <w:name w:val="Page Number"/>
    <w:basedOn w:val="769"/>
    <w:pPr>
      <w:pBdr/>
      <w:spacing/>
      <w:ind/>
    </w:pPr>
  </w:style>
  <w:style w:type="character" w:styleId="771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72">
    <w:name w:val="A4+3"/>
    <w:qFormat/>
    <w:pPr>
      <w:pBdr/>
      <w:spacing/>
      <w:ind/>
    </w:pPr>
    <w:rPr>
      <w:i/>
      <w:iCs/>
      <w:color w:val="000000"/>
      <w:sz w:val="20"/>
      <w:szCs w:val="20"/>
    </w:rPr>
  </w:style>
  <w:style w:type="character" w:styleId="773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774">
    <w:name w:val="Знак сноски"/>
    <w:qFormat/>
    <w:pPr>
      <w:pBdr/>
      <w:spacing/>
      <w:ind/>
    </w:pPr>
    <w:rPr>
      <w:vertAlign w:val="superscript"/>
    </w:rPr>
  </w:style>
  <w:style w:type="character" w:styleId="775">
    <w:name w:val=" Знак Знак1"/>
    <w:semiHidden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76">
    <w:name w:val="Строгий"/>
    <w:qFormat/>
    <w:pPr>
      <w:pBdr/>
      <w:spacing/>
      <w:ind/>
    </w:pPr>
    <w:rPr>
      <w:b/>
      <w:bCs/>
    </w:rPr>
  </w:style>
  <w:style w:type="character" w:styleId="777">
    <w:name w:val=" Знак Знак2"/>
    <w:semiHidden/>
    <w:qFormat/>
    <w:pPr>
      <w:pBdr/>
      <w:spacing/>
      <w:ind/>
    </w:pPr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778">
    <w:name w:val=" Знак Знак3"/>
    <w:qFormat/>
    <w:pPr>
      <w:pBdr/>
      <w:spacing/>
      <w:ind/>
    </w:pPr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779">
    <w:name w:val=" Знак Знак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780">
    <w:name w:val="Заголовок 1 Знак2 Знак Знак,Заголовок 1 Знак1 Знак Знак Знак,Заголовок 1 Знак Знак Знак Знак Знак,Заголовок 1 Знак Знак1 Знак Знак Знак"/>
    <w:qFormat/>
    <w:pPr>
      <w:pBdr/>
      <w:spacing/>
      <w:ind/>
    </w:pPr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character" w:styleId="781">
    <w:name w:val="Заголовок 3 Знак"/>
    <w:qFormat/>
    <w:pPr>
      <w:pBdr/>
      <w:spacing/>
      <w:ind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82">
    <w:name w:val="Текст ТД Знак"/>
    <w:qFormat/>
    <w:pPr>
      <w:pBdr/>
      <w:spacing/>
      <w:ind/>
    </w:pPr>
    <w:rPr>
      <w:rFonts w:eastAsia="Calibri"/>
      <w:sz w:val="24"/>
      <w:szCs w:val="24"/>
      <w:lang w:eastAsia="en-US"/>
    </w:rPr>
  </w:style>
  <w:style w:type="character" w:styleId="783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784">
    <w:name w:val="Текст сноски Знак"/>
    <w:basedOn w:val="769"/>
    <w:qFormat/>
    <w:pPr>
      <w:pBdr/>
      <w:spacing/>
      <w:ind/>
    </w:pPr>
  </w:style>
  <w:style w:type="character" w:styleId="785">
    <w:name w:val="Ниж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786">
    <w:name w:val="Стандартный HTML Знак"/>
    <w:qFormat/>
    <w:pPr>
      <w:pBdr/>
      <w:spacing/>
      <w:ind/>
    </w:pPr>
    <w:rPr>
      <w:rFonts w:ascii="Courier New" w:hAnsi="Courier New" w:cs="Courier New"/>
    </w:rPr>
  </w:style>
  <w:style w:type="character" w:styleId="787">
    <w:name w:val="Основной текст с отступом Знак"/>
    <w:qFormat/>
    <w:pPr>
      <w:pBdr/>
      <w:spacing/>
      <w:ind/>
    </w:pPr>
    <w:rPr>
      <w:color w:val="000000"/>
      <w:sz w:val="24"/>
      <w:szCs w:val="24"/>
    </w:rPr>
  </w:style>
  <w:style w:type="character" w:styleId="788">
    <w:name w:val="Выделение"/>
    <w:uiPriority w:val="20"/>
    <w:qFormat/>
    <w:pPr>
      <w:pBdr/>
      <w:spacing/>
      <w:ind/>
    </w:pPr>
    <w:rPr>
      <w:i/>
      <w:iCs/>
    </w:rPr>
  </w:style>
  <w:style w:type="character" w:styleId="789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790">
    <w:name w:val="Hyperlink"/>
    <w:pPr>
      <w:pBdr/>
      <w:spacing/>
      <w:ind/>
    </w:pPr>
    <w:rPr>
      <w:color w:val="000080"/>
      <w:u w:val="single"/>
    </w:rPr>
  </w:style>
  <w:style w:type="character" w:styleId="791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792">
    <w:name w:val="Заголовок"/>
    <w:basedOn w:val="737"/>
    <w:next w:val="793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93">
    <w:name w:val="Body Text"/>
    <w:basedOn w:val="737"/>
    <w:pPr>
      <w:pBdr/>
      <w:spacing w:after="140" w:before="0" w:line="276" w:lineRule="auto"/>
      <w:ind/>
    </w:pPr>
  </w:style>
  <w:style w:type="paragraph" w:styleId="794">
    <w:name w:val="List"/>
    <w:basedOn w:val="793"/>
    <w:pPr>
      <w:pBdr/>
      <w:spacing/>
      <w:ind/>
    </w:pPr>
    <w:rPr>
      <w:rFonts w:ascii="PT Astra Serif" w:hAnsi="PT Astra Serif" w:cs="Noto Sans Devanagari"/>
    </w:rPr>
  </w:style>
  <w:style w:type="paragraph" w:styleId="795">
    <w:name w:val="Caption"/>
    <w:basedOn w:val="737"/>
    <w:qFormat/>
    <w:pPr>
      <w:pBdr/>
      <w:spacing w:line="241" w:lineRule="atLeast"/>
      <w:ind/>
      <w:jc w:val="center"/>
    </w:pPr>
    <w:rPr>
      <w:b/>
      <w:color w:val="000000"/>
      <w:sz w:val="28"/>
      <w:szCs w:val="28"/>
    </w:rPr>
  </w:style>
  <w:style w:type="paragraph" w:styleId="796">
    <w:name w:val="Указатель"/>
    <w:basedOn w:val="737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97">
    <w:name w:val="toc 5"/>
    <w:basedOn w:val="737"/>
    <w:next w:val="737"/>
    <w:uiPriority w:val="39"/>
    <w:unhideWhenUsed/>
    <w:pPr>
      <w:pBdr/>
      <w:spacing w:after="57" w:before="0"/>
      <w:ind w:right="0" w:firstLine="0" w:left="1134"/>
    </w:pPr>
  </w:style>
  <w:style w:type="paragraph" w:styleId="798">
    <w:name w:val="toc 6"/>
    <w:basedOn w:val="737"/>
    <w:next w:val="737"/>
    <w:uiPriority w:val="39"/>
    <w:unhideWhenUsed/>
    <w:pPr>
      <w:pBdr/>
      <w:spacing w:after="57" w:before="0"/>
      <w:ind w:right="0" w:firstLine="0" w:left="1417"/>
    </w:pPr>
  </w:style>
  <w:style w:type="paragraph" w:styleId="799">
    <w:name w:val="toc 7"/>
    <w:basedOn w:val="737"/>
    <w:next w:val="737"/>
    <w:uiPriority w:val="39"/>
    <w:unhideWhenUsed/>
    <w:pPr>
      <w:pBdr/>
      <w:spacing w:after="57" w:before="0"/>
      <w:ind w:right="0" w:firstLine="0" w:left="1701"/>
    </w:pPr>
  </w:style>
  <w:style w:type="paragraph" w:styleId="800">
    <w:name w:val="toc 8"/>
    <w:basedOn w:val="737"/>
    <w:next w:val="737"/>
    <w:uiPriority w:val="39"/>
    <w:unhideWhenUsed/>
    <w:pPr>
      <w:pBdr/>
      <w:spacing w:after="57" w:before="0"/>
      <w:ind w:right="0" w:firstLine="0" w:left="1984"/>
    </w:pPr>
  </w:style>
  <w:style w:type="paragraph" w:styleId="801">
    <w:name w:val="toc 9"/>
    <w:basedOn w:val="737"/>
    <w:next w:val="737"/>
    <w:uiPriority w:val="39"/>
    <w:unhideWhenUsed/>
    <w:pPr>
      <w:pBdr/>
      <w:spacing w:after="57" w:before="0"/>
      <w:ind w:right="0" w:firstLine="0" w:left="2268"/>
    </w:pPr>
  </w:style>
  <w:style w:type="paragraph" w:styleId="802">
    <w:name w:val="List Paragraph"/>
    <w:basedOn w:val="737"/>
    <w:uiPriority w:val="34"/>
    <w:qFormat/>
    <w:pPr>
      <w:pBdr/>
      <w:spacing w:after="0" w:before="0"/>
      <w:ind w:firstLine="0" w:left="720"/>
      <w:contextualSpacing w:val="true"/>
    </w:pPr>
  </w:style>
  <w:style w:type="paragraph" w:styleId="803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04">
    <w:name w:val="Title"/>
    <w:basedOn w:val="73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5">
    <w:name w:val="Quote"/>
    <w:basedOn w:val="737"/>
    <w:uiPriority w:val="29"/>
    <w:qFormat/>
    <w:pPr>
      <w:pBdr/>
      <w:spacing/>
      <w:ind w:right="720" w:firstLine="0" w:left="720"/>
    </w:pPr>
    <w:rPr>
      <w:i/>
    </w:rPr>
  </w:style>
  <w:style w:type="paragraph" w:styleId="806">
    <w:name w:val="Intense Quote"/>
    <w:basedOn w:val="7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07">
    <w:name w:val="footnote text"/>
    <w:basedOn w:val="737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08">
    <w:name w:val="endnote text"/>
    <w:basedOn w:val="737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09">
    <w:name w:val="toc 2"/>
    <w:basedOn w:val="737"/>
    <w:uiPriority w:val="39"/>
    <w:unhideWhenUsed/>
    <w:pPr>
      <w:pBdr/>
      <w:spacing w:after="57" w:before="0"/>
      <w:ind w:right="0" w:firstLine="0" w:left="283"/>
    </w:pPr>
  </w:style>
  <w:style w:type="paragraph" w:styleId="810">
    <w:name w:val="toc 4"/>
    <w:basedOn w:val="737"/>
    <w:uiPriority w:val="39"/>
    <w:unhideWhenUsed/>
    <w:pPr>
      <w:pBdr/>
      <w:spacing w:after="57" w:before="0"/>
      <w:ind w:right="0" w:firstLine="0" w:left="850"/>
    </w:pPr>
  </w:style>
  <w:style w:type="paragraph" w:styleId="811">
    <w:name w:val="Index Heading"/>
    <w:basedOn w:val="792"/>
    <w:pPr>
      <w:pBdr/>
      <w:spacing/>
      <w:ind/>
    </w:pPr>
  </w:style>
  <w:style w:type="paragraph" w:styleId="812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13">
    <w:name w:val="table of figures"/>
    <w:basedOn w:val="737"/>
    <w:uiPriority w:val="99"/>
    <w:unhideWhenUsed/>
    <w:qFormat/>
    <w:pPr>
      <w:pBdr/>
      <w:spacing w:after="0" w:afterAutospacing="0" w:before="0"/>
      <w:ind/>
    </w:pPr>
  </w:style>
  <w:style w:type="paragraph" w:styleId="814">
    <w:name w:val="Текст,Текст Знак"/>
    <w:basedOn w:val="737"/>
    <w:qFormat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15">
    <w:name w:val="Колонтитул"/>
    <w:basedOn w:val="737"/>
    <w:qFormat/>
    <w:pPr>
      <w:pBdr/>
      <w:spacing/>
      <w:ind/>
    </w:pPr>
  </w:style>
  <w:style w:type="paragraph" w:styleId="816">
    <w:name w:val="Header"/>
    <w:basedOn w:val="737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7">
    <w:name w:val="Footer"/>
    <w:basedOn w:val="737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818">
    <w:name w:val="Plain Text1"/>
    <w:basedOn w:val="737"/>
    <w:qFormat/>
    <w:pPr>
      <w:pBdr/>
      <w:spacing/>
      <w:ind/>
    </w:pPr>
    <w:rPr>
      <w:rFonts w:ascii="Courier New" w:hAnsi="Courier New"/>
      <w:szCs w:val="20"/>
    </w:rPr>
  </w:style>
  <w:style w:type="paragraph" w:styleId="819">
    <w:name w:val="Основной текст,Основной текст Знак Знак Знак,Основной текст Знак, Знак Знак Знак,Знак Знак Знак"/>
    <w:basedOn w:val="737"/>
    <w:qFormat/>
    <w:pPr>
      <w:pBdr/>
      <w:tabs>
        <w:tab w:val="clear" w:leader="none" w:pos="709"/>
        <w:tab w:val="left" w:leader="none" w:pos="3240"/>
      </w:tabs>
      <w:spacing w:line="241" w:lineRule="atLeast"/>
      <w:ind/>
      <w:jc w:val="both"/>
    </w:pPr>
    <w:rPr>
      <w:color w:val="000000"/>
    </w:rPr>
  </w:style>
  <w:style w:type="paragraph" w:styleId="820">
    <w:name w:val="Body Text Indent"/>
    <w:basedOn w:val="737"/>
    <w:pPr>
      <w:pBdr/>
      <w:spacing w:line="241" w:lineRule="atLeast"/>
      <w:ind w:firstLine="360"/>
      <w:jc w:val="both"/>
    </w:pPr>
    <w:rPr>
      <w:color w:val="000000"/>
      <w:lang w:val="en-US" w:eastAsia="en-US"/>
    </w:rPr>
  </w:style>
  <w:style w:type="paragraph" w:styleId="821">
    <w:name w:val="Subtitle"/>
    <w:basedOn w:val="737"/>
    <w:qFormat/>
    <w:pPr>
      <w:pBdr/>
      <w:spacing/>
      <w:ind/>
    </w:pPr>
    <w:rPr>
      <w:szCs w:val="20"/>
    </w:rPr>
  </w:style>
  <w:style w:type="paragraph" w:styleId="822">
    <w:name w:val="Основной текст с отступом 2"/>
    <w:basedOn w:val="737"/>
    <w:qFormat/>
    <w:pPr>
      <w:pBdr/>
      <w:shd w:val="clear" w:color="auto" w:fill="ffffff"/>
      <w:spacing/>
      <w:ind w:right="2" w:firstLine="360"/>
      <w:jc w:val="both"/>
    </w:pPr>
    <w:rPr>
      <w:spacing w:val="-2"/>
      <w:sz w:val="20"/>
    </w:rPr>
  </w:style>
  <w:style w:type="paragraph" w:styleId="823">
    <w:name w:val="Основной текст с отступом 3"/>
    <w:basedOn w:val="737"/>
    <w:qFormat/>
    <w:pPr>
      <w:widowControl w:val="false"/>
      <w:pBdr/>
      <w:shd w:val="clear" w:color="auto" w:fill="ffffff"/>
      <w:spacing/>
      <w:ind w:hanging="142" w:left="284"/>
      <w:jc w:val="both"/>
    </w:pPr>
  </w:style>
  <w:style w:type="paragraph" w:styleId="824">
    <w:name w:val="Body Text 22"/>
    <w:basedOn w:val="737"/>
    <w:qFormat/>
    <w:pPr>
      <w:pBdr/>
      <w:spacing/>
      <w:ind/>
      <w:jc w:val="both"/>
    </w:pPr>
    <w:rPr>
      <w:rFonts w:ascii="MS Sans Serif" w:hAnsi="MS Sans Serif"/>
      <w:sz w:val="22"/>
      <w:szCs w:val="20"/>
    </w:rPr>
  </w:style>
  <w:style w:type="paragraph" w:styleId="825">
    <w:name w:val="Pa8+2"/>
    <w:basedOn w:val="737"/>
    <w:qFormat/>
    <w:pPr>
      <w:pBdr/>
      <w:spacing w:line="241" w:lineRule="atLeast"/>
      <w:ind/>
    </w:pPr>
  </w:style>
  <w:style w:type="paragraph" w:styleId="826">
    <w:name w:val="Pa11+4"/>
    <w:basedOn w:val="737"/>
    <w:qFormat/>
    <w:pPr>
      <w:pBdr/>
      <w:spacing w:after="0" w:before="100" w:line="241" w:lineRule="atLeast"/>
      <w:ind/>
    </w:pPr>
  </w:style>
  <w:style w:type="paragraph" w:styleId="827">
    <w:name w:val="Pa13+3"/>
    <w:basedOn w:val="737"/>
    <w:qFormat/>
    <w:pPr>
      <w:pBdr/>
      <w:spacing w:after="0" w:before="200" w:line="241" w:lineRule="atLeast"/>
      <w:ind/>
    </w:pPr>
  </w:style>
  <w:style w:type="paragraph" w:styleId="828">
    <w:name w:val="Pa15+2"/>
    <w:basedOn w:val="737"/>
    <w:qFormat/>
    <w:pPr>
      <w:pBdr/>
      <w:spacing w:after="0" w:before="200" w:line="241" w:lineRule="atLeast"/>
      <w:ind/>
    </w:pPr>
  </w:style>
  <w:style w:type="paragraph" w:styleId="829">
    <w:name w:val="Pa5+3"/>
    <w:basedOn w:val="737"/>
    <w:qFormat/>
    <w:pPr>
      <w:pBdr/>
      <w:spacing w:line="241" w:lineRule="atLeast"/>
      <w:ind/>
    </w:pPr>
  </w:style>
  <w:style w:type="paragraph" w:styleId="830">
    <w:name w:val="Основной текст 2"/>
    <w:basedOn w:val="737"/>
    <w:qFormat/>
    <w:pPr>
      <w:pBdr/>
      <w:spacing/>
      <w:ind/>
      <w:jc w:val="both"/>
    </w:pPr>
    <w:rPr>
      <w:sz w:val="20"/>
      <w:szCs w:val="20"/>
    </w:rPr>
  </w:style>
  <w:style w:type="paragraph" w:styleId="831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2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33">
    <w:name w:val="Body Text 3"/>
    <w:basedOn w:val="737"/>
    <w:qFormat/>
    <w:pPr>
      <w:pBdr/>
      <w:tabs>
        <w:tab w:val="left" w:leader="none" w:pos="426"/>
        <w:tab w:val="clear" w:leader="none" w:pos="709"/>
      </w:tabs>
      <w:spacing/>
      <w:ind/>
      <w:jc w:val="both"/>
    </w:pPr>
    <w:rPr>
      <w:rFonts w:ascii="Arial" w:hAnsi="Arial"/>
      <w:szCs w:val="20"/>
    </w:rPr>
  </w:style>
  <w:style w:type="paragraph" w:styleId="834">
    <w:name w:val="toc 3"/>
    <w:basedOn w:val="737"/>
    <w:semiHidden/>
    <w:pPr>
      <w:keepNext w:val="true"/>
      <w:keepLines w:val="true"/>
      <w:pBdr/>
      <w:tabs>
        <w:tab w:val="left" w:leader="none" w:pos="0"/>
        <w:tab w:val="clear" w:leader="none" w:pos="709"/>
        <w:tab w:val="right" w:leader="dot" w:pos="10080"/>
      </w:tabs>
      <w:spacing/>
      <w:ind/>
      <w:jc w:val="both"/>
    </w:pPr>
    <w:rPr>
      <w:szCs w:val="20"/>
    </w:rPr>
  </w:style>
  <w:style w:type="paragraph" w:styleId="835">
    <w:name w:val="Цитата"/>
    <w:basedOn w:val="737"/>
    <w:qFormat/>
    <w:pPr>
      <w:pBdr/>
      <w:spacing/>
      <w:ind w:right="-766" w:firstLine="0" w:left="-851"/>
      <w:jc w:val="both"/>
    </w:pPr>
    <w:rPr>
      <w:sz w:val="22"/>
      <w:szCs w:val="20"/>
    </w:rPr>
  </w:style>
  <w:style w:type="paragraph" w:styleId="836">
    <w:name w:val="Схема документа"/>
    <w:basedOn w:val="737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837">
    <w:name w:val="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38">
    <w:name w:val="ConsNonformat"/>
    <w:qFormat/>
    <w:pPr>
      <w:widowControl w:val="false"/>
      <w:pBdr/>
      <w:spacing w:after="0" w:before="0"/>
      <w:ind w:right="19772" w:firstLine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39">
    <w:name w:val="Пункт договора"/>
    <w:basedOn w:val="737"/>
    <w:qFormat/>
    <w:pPr>
      <w:keepLines w:val="true"/>
      <w:pBdr/>
      <w:tabs>
        <w:tab w:val="left" w:leader="none" w:pos="567"/>
        <w:tab w:val="clear" w:leader="none" w:pos="709"/>
      </w:tabs>
      <w:spacing/>
      <w:ind w:hanging="567" w:left="567"/>
      <w:jc w:val="both"/>
    </w:pPr>
    <w:rPr>
      <w:sz w:val="20"/>
      <w:szCs w:val="20"/>
    </w:rPr>
  </w:style>
  <w:style w:type="paragraph" w:styleId="840">
    <w:name w:val="Основной текст 3"/>
    <w:basedOn w:val="737"/>
    <w:qFormat/>
    <w:pPr>
      <w:pBdr/>
      <w:spacing w:after="120" w:before="0"/>
      <w:ind/>
    </w:pPr>
    <w:rPr>
      <w:sz w:val="16"/>
      <w:szCs w:val="16"/>
    </w:rPr>
  </w:style>
  <w:style w:type="paragraph" w:styleId="841">
    <w:name w:val="Normal1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Times New Roman"/>
      <w:color w:val="auto"/>
      <w:sz w:val="18"/>
      <w:szCs w:val="20"/>
      <w:lang w:val="ru-RU" w:eastAsia="ru-RU" w:bidi="ar-SA"/>
    </w:rPr>
  </w:style>
  <w:style w:type="paragraph" w:styleId="842">
    <w:name w:val="toc 1"/>
    <w:basedOn w:val="737"/>
    <w:semiHidden/>
    <w:pPr>
      <w:pBdr/>
      <w:spacing/>
      <w:ind/>
    </w:pPr>
  </w:style>
  <w:style w:type="paragraph" w:styleId="843">
    <w:name w:val="Текст сноски"/>
    <w:basedOn w:val="737"/>
    <w:qFormat/>
    <w:pPr>
      <w:pBdr/>
      <w:spacing/>
      <w:ind/>
    </w:pPr>
    <w:rPr>
      <w:sz w:val="20"/>
      <w:szCs w:val="20"/>
    </w:rPr>
  </w:style>
  <w:style w:type="paragraph" w:styleId="844">
    <w:name w:val=" Знак1"/>
    <w:basedOn w:val="737"/>
    <w:qFormat/>
    <w:pPr>
      <w:pBdr/>
      <w:spacing w:after="160" w:before="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45">
    <w:name w:val="Знак"/>
    <w:basedOn w:val="737"/>
    <w:qFormat/>
    <w:pPr>
      <w:pBdr/>
      <w:spacing w:afterAutospacing="1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paragraph" w:styleId="846">
    <w:name w:val="Обычный (веб)"/>
    <w:basedOn w:val="737"/>
    <w:qFormat/>
    <w:pPr>
      <w:keepNext w:val="true"/>
      <w:pBdr/>
      <w:spacing/>
      <w:ind/>
    </w:pPr>
  </w:style>
  <w:style w:type="paragraph" w:styleId="847">
    <w:name w:val="Основной текст 21"/>
    <w:basedOn w:val="737"/>
    <w:qFormat/>
    <w:pPr>
      <w:widowControl w:val="false"/>
      <w:pBdr/>
      <w:spacing/>
      <w:ind/>
      <w:jc w:val="both"/>
    </w:pPr>
    <w:rPr>
      <w:rFonts w:cs="Arial"/>
      <w:szCs w:val="18"/>
    </w:rPr>
  </w:style>
  <w:style w:type="paragraph" w:styleId="848">
    <w:name w:val="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49">
    <w:name w:val="Стиль2"/>
    <w:qFormat/>
    <w:pPr>
      <w:keepNext w:val="true"/>
      <w:keepLines w:val="true"/>
      <w:widowControl w:val="true"/>
      <w:numPr>
        <w:ilvl w:val="0"/>
        <w:numId w:val="1"/>
      </w:numPr>
      <w:suppressLineNumbers w:val="true"/>
      <w:pBdr/>
      <w:tabs>
        <w:tab w:val="clear" w:leader="none" w:pos="709"/>
        <w:tab w:val="left" w:leader="none" w:pos="1836"/>
      </w:tabs>
      <w:spacing w:after="60" w:before="0"/>
      <w:ind w:hanging="576" w:left="1836"/>
      <w:jc w:val="both"/>
    </w:pPr>
    <w:rPr>
      <w:rFonts w:ascii="Times New Roman" w:hAnsi="Times New Roman" w:eastAsia="Tahoma" w:cs="Times New Roman"/>
      <w:b/>
      <w:color w:val="auto"/>
      <w:sz w:val="24"/>
      <w:szCs w:val="20"/>
      <w:lang w:val="ru-RU" w:eastAsia="zh-CN" w:bidi="hi-IN"/>
    </w:rPr>
  </w:style>
  <w:style w:type="paragraph" w:styleId="850">
    <w:name w:val="Нумерованный список 2"/>
    <w:basedOn w:val="737"/>
    <w:qFormat/>
    <w:pPr>
      <w:widowControl w:val="false"/>
      <w:numPr>
        <w:ilvl w:val="1"/>
        <w:numId w:val="1"/>
      </w:numPr>
      <w:pBdr/>
      <w:tabs>
        <w:tab w:val="left" w:leader="none" w:pos="432"/>
        <w:tab w:val="clear" w:leader="none" w:pos="709"/>
      </w:tabs>
      <w:spacing/>
      <w:ind w:hanging="432" w:left="432"/>
    </w:pPr>
    <w:rPr>
      <w:rFonts w:ascii="Arial" w:hAnsi="Arial" w:cs="Arial"/>
      <w:sz w:val="18"/>
      <w:szCs w:val="18"/>
    </w:rPr>
  </w:style>
  <w:style w:type="paragraph" w:styleId="851">
    <w:name w:val="Стиль3"/>
    <w:basedOn w:val="822"/>
    <w:qFormat/>
    <w:pPr>
      <w:widowControl w:val="false"/>
      <w:numPr>
        <w:ilvl w:val="2"/>
        <w:numId w:val="1"/>
      </w:numPr>
      <w:pBdr/>
      <w:shd w:val="clear" w:color="auto" w:fill="auto"/>
      <w:spacing/>
      <w:ind w:right="0" w:firstLine="360"/>
    </w:pPr>
    <w:rPr>
      <w:spacing w:val="0"/>
      <w:sz w:val="24"/>
      <w:szCs w:val="20"/>
    </w:rPr>
  </w:style>
  <w:style w:type="paragraph" w:styleId="852">
    <w:name w:val="Обычный (веб)1,Обычный (Web)1"/>
    <w:basedOn w:val="737"/>
    <w:qFormat/>
    <w:pPr>
      <w:keepNext w:val="true"/>
      <w:pBdr/>
      <w:spacing/>
      <w:ind/>
    </w:pPr>
    <w:rPr>
      <w:rFonts w:cs="Arial"/>
      <w:szCs w:val="18"/>
    </w:rPr>
  </w:style>
  <w:style w:type="paragraph" w:styleId="853">
    <w:name w:val="Заголовок 1.Заголовок 1 Знак1.Заголовок 1 Знак Знак.Заголовок 1 Знак Знак1.Заголовок 1 Знак.Заголовок 1 Знак2.Document Header1"/>
    <w:basedOn w:val="737"/>
    <w:qFormat/>
    <w:pPr>
      <w:keepNext w:val="true"/>
      <w:widowControl w:val="false"/>
      <w:pBdr/>
      <w:spacing w:after="0" w:before="60"/>
      <w:ind/>
      <w:jc w:val="center"/>
      <w:outlineLvl w:val="0"/>
    </w:pPr>
    <w:rPr>
      <w:b/>
      <w:szCs w:val="20"/>
    </w:rPr>
  </w:style>
  <w:style w:type="paragraph" w:styleId="854">
    <w:name w:val="FR1"/>
    <w:qFormat/>
    <w:pPr>
      <w:widowControl w:val="false"/>
      <w:pBdr/>
      <w:spacing w:after="0" w:before="380" w:line="1039" w:lineRule="auto"/>
      <w:ind w:right="6400" w:firstLine="0"/>
      <w:jc w:val="left"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styleId="855">
    <w:name w:val="Без интервала"/>
    <w:qFormat/>
    <w:pPr>
      <w:widowControl w:val="true"/>
      <w:pBdr/>
      <w:spacing w:after="0" w:before="0"/>
      <w:ind/>
      <w:jc w:val="left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856">
    <w:name w:val="Абзац списка"/>
    <w:basedOn w:val="737"/>
    <w:uiPriority w:val="34"/>
    <w:qFormat/>
    <w:pPr>
      <w:pBdr/>
      <w:spacing w:after="200" w:before="0" w:line="276" w:lineRule="auto"/>
      <w:ind w:firstLine="0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57">
    <w:name w:val="Текст выноски"/>
    <w:basedOn w:val="737"/>
    <w:semiHidden/>
    <w:unhideWhenUsed/>
    <w:qFormat/>
    <w:pPr>
      <w:pBdr/>
      <w:spacing/>
      <w:ind/>
    </w:pPr>
    <w:rPr>
      <w:rFonts w:ascii="Tahoma" w:hAnsi="Tahoma" w:eastAsia="Calibri" w:cs="Tahoma"/>
      <w:sz w:val="16"/>
      <w:szCs w:val="16"/>
      <w:lang w:eastAsia="en-US"/>
    </w:rPr>
  </w:style>
  <w:style w:type="paragraph" w:styleId="858">
    <w:name w:val="Нормальный"/>
    <w:qFormat/>
    <w:pPr>
      <w:widowControl w:val="fals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59">
    <w:name w:val="Содержимое таблицы"/>
    <w:basedOn w:val="737"/>
    <w:qFormat/>
    <w:pPr>
      <w:widowControl w:val="false"/>
      <w:suppressLineNumbers w:val="true"/>
      <w:pBdr/>
      <w:spacing/>
      <w:ind/>
    </w:pPr>
    <w:rPr>
      <w:rFonts w:ascii="Arial" w:hAnsi="Arial"/>
      <w:lang w:eastAsia="en-US"/>
    </w:rPr>
  </w:style>
  <w:style w:type="paragraph" w:styleId="860">
    <w:name w:val="ConsPlu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61">
    <w:name w:val="Обычный (Web)"/>
    <w:basedOn w:val="737"/>
    <w:qFormat/>
    <w:pPr>
      <w:pBdr/>
      <w:spacing w:afterAutospacing="1" w:beforeAutospacing="1"/>
      <w:ind/>
    </w:pPr>
  </w:style>
  <w:style w:type="paragraph" w:styleId="862">
    <w:name w:val="Plain Text,Oaeno Ciae"/>
    <w:basedOn w:val="737"/>
    <w:qFormat/>
    <w:pPr>
      <w:widowControl w:val="false"/>
      <w:pBdr/>
      <w:spacing/>
      <w:ind/>
    </w:pPr>
    <w:rPr>
      <w:rFonts w:ascii="Courier New" w:hAnsi="Courier New"/>
      <w:sz w:val="20"/>
      <w:szCs w:val="20"/>
    </w:rPr>
  </w:style>
  <w:style w:type="paragraph" w:styleId="863">
    <w:name w:val=" Знак Знак Знак Знак Знак Знак1 Знак Знак Знак Знак"/>
    <w:basedOn w:val="737"/>
    <w:qFormat/>
    <w:pPr>
      <w:pBdr/>
      <w:spacing w:afterAutospacing="1" w:beforeAutospacing="1"/>
      <w:ind/>
    </w:pPr>
    <w:rPr>
      <w:rFonts w:ascii="Tahoma" w:hAnsi="Tahoma"/>
      <w:sz w:val="20"/>
      <w:szCs w:val="20"/>
      <w:lang w:val="en-US" w:eastAsia="en-US"/>
    </w:rPr>
  </w:style>
  <w:style w:type="paragraph" w:styleId="864">
    <w:name w:val="Текст ТД"/>
    <w:basedOn w:val="737"/>
    <w:qFormat/>
    <w:pPr>
      <w:numPr>
        <w:ilvl w:val="0"/>
        <w:numId w:val="2"/>
      </w:numPr>
      <w:pBdr/>
      <w:spacing w:after="200" w:before="0"/>
      <w:ind/>
      <w:jc w:val="both"/>
    </w:pPr>
    <w:rPr>
      <w:rFonts w:eastAsia="Calibri"/>
      <w:lang w:val="en-US" w:eastAsia="en-US"/>
    </w:rPr>
  </w:style>
  <w:style w:type="paragraph" w:styleId="865">
    <w:name w:val="Стандартный HTML"/>
    <w:basedOn w:val="737"/>
    <w:qFormat/>
    <w:pPr>
      <w:pBdr/>
      <w:tabs>
        <w:tab w:val="clear" w:leader="none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  <w:lang w:val="en-US" w:eastAsia="en-US"/>
    </w:rPr>
  </w:style>
  <w:style w:type="paragraph" w:styleId="866">
    <w:name w:val="Основно"/>
    <w:basedOn w:val="737"/>
    <w:qFormat/>
    <w:pPr>
      <w:widowControl w:val="false"/>
      <w:pBdr/>
      <w:spacing/>
      <w:ind/>
      <w:jc w:val="both"/>
    </w:pPr>
    <w:rPr>
      <w:szCs w:val="20"/>
    </w:rPr>
  </w:style>
  <w:style w:type="paragraph" w:styleId="867">
    <w:name w:val="style_13322268210000000501msoplaintext"/>
    <w:basedOn w:val="737"/>
    <w:qFormat/>
    <w:pPr>
      <w:pBdr/>
      <w:spacing w:afterAutospacing="1" w:beforeAutospacing="1"/>
      <w:ind/>
    </w:pPr>
  </w:style>
  <w:style w:type="paragraph" w:styleId="868">
    <w:name w:val="style_13322268210000000501msonormal"/>
    <w:basedOn w:val="737"/>
    <w:qFormat/>
    <w:pPr>
      <w:pBdr/>
      <w:spacing w:afterAutospacing="1" w:beforeAutospacing="1"/>
      <w:ind/>
    </w:pPr>
  </w:style>
  <w:style w:type="paragraph" w:styleId="869">
    <w:name w:val="TextBoldCenter"/>
    <w:basedOn w:val="737"/>
    <w:qFormat/>
    <w:pPr>
      <w:pBdr/>
      <w:spacing w:after="0" w:before="283"/>
      <w:ind/>
      <w:jc w:val="center"/>
    </w:pPr>
    <w:rPr>
      <w:rFonts w:eastAsia="Calibri"/>
      <w:b/>
      <w:bCs/>
      <w:sz w:val="26"/>
      <w:szCs w:val="26"/>
    </w:rPr>
  </w:style>
  <w:style w:type="paragraph" w:styleId="870">
    <w:name w:val="Содержимое врезки"/>
    <w:basedOn w:val="737"/>
    <w:qFormat/>
    <w:pPr>
      <w:pBdr/>
      <w:spacing/>
      <w:ind/>
    </w:pPr>
  </w:style>
  <w:style w:type="paragraph" w:styleId="871">
    <w:name w:val="Заголовок таблицы"/>
    <w:basedOn w:val="859"/>
    <w:qFormat/>
    <w:pPr>
      <w:suppressLineNumbers w:val="true"/>
      <w:pBdr/>
      <w:spacing/>
      <w:ind/>
      <w:jc w:val="center"/>
    </w:pPr>
    <w:rPr>
      <w:b/>
      <w:bCs/>
    </w:rPr>
  </w:style>
  <w:style w:type="paragraph" w:styleId="872" w:customStyle="1">
    <w:name w:val="Основной текст с отступом, Знак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, Знак3,Основной текст с отступом Знак1, Знак2,Знак,Знак3,Знак2"/>
    <w:basedOn w:val="824"/>
    <w:qFormat/>
    <w:pPr>
      <w:keepNext w:val="false"/>
      <w:keepLines w:val="false"/>
      <w:pageBreakBefore w:val="false"/>
      <w:widowControl w:val="true"/>
      <w:pBdr/>
      <w:shd w:val="nil"/>
      <w:spacing w:after="120" w:afterAutospacing="0" w:before="0" w:beforeAutospacing="0" w:line="240" w:lineRule="auto"/>
      <w:ind w:right="0" w:firstLine="0" w:left="283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numbering" w:styleId="873">
    <w:name w:val="Нет списка"/>
    <w:semiHidden/>
    <w:qFormat/>
    <w:pPr>
      <w:pBdr/>
      <w:spacing/>
      <w:ind/>
    </w:pPr>
  </w:style>
  <w:style w:type="numbering" w:styleId="874" w:default="1">
    <w:name w:val="No List"/>
    <w:uiPriority w:val="99"/>
    <w:semiHidden/>
    <w:unhideWhenUsed/>
    <w:qFormat/>
    <w:pPr>
      <w:pBdr/>
      <w:spacing/>
      <w:ind/>
    </w:pPr>
  </w:style>
  <w:style w:type="table" w:styleId="875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://sale.zakazrf.ru/" TargetMode="External"/><Relationship Id="rId14" Type="http://schemas.openxmlformats.org/officeDocument/2006/relationships/hyperlink" Target="http://sale.zakazrf.ru/" TargetMode="External"/><Relationship Id="rId15" Type="http://schemas.openxmlformats.org/officeDocument/2006/relationships/hyperlink" Target="mailto:sale@mail.zakazrf.ru." TargetMode="External"/><Relationship Id="rId16" Type="http://schemas.openxmlformats.org/officeDocument/2006/relationships/hyperlink" Target="http://sale.zakazrf.ru/" TargetMode="External"/><Relationship Id="rId17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18" Type="http://schemas.openxmlformats.org/officeDocument/2006/relationships/hyperlink" Target="https://torgi.gov.ru/new/public" TargetMode="External"/><Relationship Id="rId19" Type="http://schemas.openxmlformats.org/officeDocument/2006/relationships/hyperlink" Target="http://sale.zakazrf.ru/" TargetMode="External"/><Relationship Id="rId20" Type="http://schemas.openxmlformats.org/officeDocument/2006/relationships/hyperlink" Target="https://torgi.gov.ru/new/public" TargetMode="External"/><Relationship Id="rId21" Type="http://schemas.openxmlformats.org/officeDocument/2006/relationships/hyperlink" Target="../../../../home/aysylu/Desktops/Desktop1/&#1053;&#1086;&#1074;&#1086;&#1077;%202024/&#1040;&#1059;&#1050;&#1062;&#1048;&#1054;&#1053;%202024%20/&#1058;&#1056;&#1040;&#1053;&#1057;&#1055;&#1054;&#1056;&#1058;%202/&#1058;&#1054;&#1056;&#1043;&#1048;%20&#1040;&#1042;&#1058;&#1054;%202%20&#1087;&#1086;&#1090;&#1086;&#1082;/aktanysh.tatarstan.ru" TargetMode="External"/><Relationship Id="rId22" Type="http://schemas.openxmlformats.org/officeDocument/2006/relationships/hyperlink" Target="http://sale.zakazr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dc:description/>
  <dc:language>ru-RU</dc:language>
  <cp:revision>387</cp:revision>
  <dcterms:created xsi:type="dcterms:W3CDTF">2016-07-20T08:26:00Z</dcterms:created>
  <dcterms:modified xsi:type="dcterms:W3CDTF">2025-04-07T12:03:53Z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