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36" w:rsidRPr="00944181" w:rsidRDefault="00D10915" w:rsidP="00944181">
      <w:pPr>
        <w:ind w:left="5812" w:right="28" w:firstLine="0"/>
        <w:jc w:val="left"/>
        <w:rPr>
          <w:b/>
        </w:rPr>
      </w:pPr>
      <w:bookmarkStart w:id="0" w:name="_GoBack"/>
      <w:bookmarkEnd w:id="0"/>
      <w:r>
        <w:rPr>
          <w:b/>
          <w:lang w:val="tt"/>
        </w:rPr>
        <w:t>Актаныш муниципаль районы Башлыгы Л.Р. Зариповка</w:t>
      </w:r>
    </w:p>
    <w:p w:rsidR="003842F7" w:rsidRDefault="003842F7" w:rsidP="00ED0ED1">
      <w:pPr>
        <w:spacing w:after="37"/>
        <w:ind w:left="33" w:right="28" w:firstLine="0"/>
        <w:jc w:val="center"/>
      </w:pPr>
    </w:p>
    <w:p w:rsidR="00ED0ED1" w:rsidRPr="00944181" w:rsidRDefault="00D10915" w:rsidP="006C1349">
      <w:pPr>
        <w:spacing w:after="299" w:line="259" w:lineRule="auto"/>
        <w:ind w:left="10" w:right="317" w:hanging="10"/>
        <w:jc w:val="center"/>
        <w:rPr>
          <w:b/>
        </w:rPr>
      </w:pPr>
      <w:r w:rsidRPr="00944181">
        <w:rPr>
          <w:b/>
          <w:lang w:val="tt"/>
        </w:rPr>
        <w:t>Актаныш муниципаль районында 2023 елга гражданнар мөрәҗәгатьләрен карау нәтиҗәләре турында</w:t>
      </w:r>
    </w:p>
    <w:p w:rsidR="00D87C36" w:rsidRDefault="00D10915">
      <w:pPr>
        <w:ind w:left="33" w:right="28"/>
      </w:pPr>
      <w:r>
        <w:rPr>
          <w:lang w:val="tt"/>
        </w:rPr>
        <w:t>2023 елда Актаныш муниципаль районы Башлыгы һәм Башкарма комитет җитәкчесе адресына 352 мөрәҗәгать килгән, шуларның 80 е (22,72%) интернет-кабул итү һәм электрон почта аша кергән.</w:t>
      </w:r>
    </w:p>
    <w:p w:rsidR="00D87C36" w:rsidRDefault="00D10915">
      <w:pPr>
        <w:ind w:left="33" w:right="28"/>
      </w:pPr>
      <w:r>
        <w:rPr>
          <w:lang w:val="tt"/>
        </w:rPr>
        <w:t>Гражданнарның муниципаль район Башлыгына һәм Башкарма комитет җитәкчесенә мөрәҗәгатьләренең тематикасы, нигездә, халыкның социаль һәм икътисадый хәленә кагылышлы сораулар: торак шартларын яхшырту, коммуналь-көнкүреш хезмәте күрсәтү, экология, капиталь төзелеш, халыкны социаль яклау, медицина хезмәте күрсәтү, социаль яклау проблемалары.</w:t>
      </w:r>
    </w:p>
    <w:p w:rsidR="00D87C36" w:rsidRDefault="00D10915" w:rsidP="00E67CD6">
      <w:pPr>
        <w:spacing w:after="37"/>
        <w:ind w:left="0" w:right="28" w:firstLine="763"/>
      </w:pPr>
      <w:r>
        <w:rPr>
          <w:noProof/>
        </w:rPr>
        <w:drawing>
          <wp:anchor distT="0" distB="0" distL="114300" distR="114300" simplePos="0" relativeHeight="251658240" behindDoc="0" locked="0" layoutInCell="1" allowOverlap="0">
            <wp:simplePos x="0" y="0"/>
            <wp:positionH relativeFrom="page">
              <wp:posOffset>7175475</wp:posOffset>
            </wp:positionH>
            <wp:positionV relativeFrom="page">
              <wp:posOffset>2447777</wp:posOffset>
            </wp:positionV>
            <wp:extent cx="15241" cy="24386"/>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67806311" name="Picture 2491"/>
                    <pic:cNvPicPr/>
                  </pic:nvPicPr>
                  <pic:blipFill>
                    <a:blip r:embed="rId5"/>
                    <a:stretch>
                      <a:fillRect/>
                    </a:stretch>
                  </pic:blipFill>
                  <pic:spPr>
                    <a:xfrm>
                      <a:off x="0" y="0"/>
                      <a:ext cx="15241" cy="2438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387122</wp:posOffset>
            </wp:positionH>
            <wp:positionV relativeFrom="page">
              <wp:posOffset>9233269</wp:posOffset>
            </wp:positionV>
            <wp:extent cx="3048" cy="6097"/>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1701881248" name="Picture 2493"/>
                    <pic:cNvPicPr/>
                  </pic:nvPicPr>
                  <pic:blipFill>
                    <a:blip r:embed="rId6"/>
                    <a:stretch>
                      <a:fillRect/>
                    </a:stretch>
                  </pic:blipFill>
                  <pic:spPr>
                    <a:xfrm>
                      <a:off x="0" y="0"/>
                      <a:ext cx="3048" cy="60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368833</wp:posOffset>
                </wp:positionH>
                <wp:positionV relativeFrom="page">
                  <wp:posOffset>944970</wp:posOffset>
                </wp:positionV>
                <wp:extent cx="179844" cy="381036"/>
                <wp:effectExtent l="0" t="0" r="0" b="0"/>
                <wp:wrapSquare wrapText="bothSides"/>
                <wp:docPr id="9013" name="Group 9013"/>
                <wp:cNvGraphicFramePr/>
                <a:graphic xmlns:a="http://schemas.openxmlformats.org/drawingml/2006/main">
                  <a:graphicData uri="http://schemas.microsoft.com/office/word/2010/wordprocessingGroup">
                    <wpg:wgp>
                      <wpg:cNvGrpSpPr/>
                      <wpg:grpSpPr>
                        <a:xfrm>
                          <a:off x="0" y="0"/>
                          <a:ext cx="179844" cy="381036"/>
                          <a:chOff x="0" y="0"/>
                          <a:chExt cx="179844" cy="381036"/>
                        </a:xfrm>
                      </wpg:grpSpPr>
                      <wps:wsp>
                        <wps:cNvPr id="12" name="Rectangle 12"/>
                        <wps:cNvSpPr/>
                        <wps:spPr>
                          <a:xfrm>
                            <a:off x="0" y="0"/>
                            <a:ext cx="239193" cy="506778"/>
                          </a:xfrm>
                          <a:prstGeom prst="rect">
                            <a:avLst/>
                          </a:prstGeom>
                          <a:ln>
                            <a:noFill/>
                          </a:ln>
                        </wps:spPr>
                        <wps:txbx>
                          <w:txbxContent>
                            <w:p w:rsidR="00D87C36" w:rsidRDefault="00D10915">
                              <w:pPr>
                                <w:spacing w:after="160" w:line="259" w:lineRule="auto"/>
                                <w:ind w:left="0" w:firstLine="0"/>
                                <w:jc w:val="left"/>
                              </w:pPr>
                              <w:r>
                                <w:rPr>
                                  <w:w w:val="2"/>
                                  <w:sz w:val="66"/>
                                  <w:lang w:val="tt"/>
                                </w:rPr>
                                <w:t>0</w:t>
                              </w:r>
                            </w:p>
                          </w:txbxContent>
                        </wps:txbx>
                        <wps:bodyPr horzOverflow="overflow" vert="horz" lIns="0" tIns="0" rIns="0" bIns="0" rtlCol="0"/>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group id="Group 9013" o:spid="_x0000_s1025" style="width:14.15pt;height:30pt;margin-top:74.4pt;margin-left:29.05pt;mso-position-horizontal-relative:page;mso-position-vertical-relative:page;position:absolute;z-index:251661312" coordsize="179844,381036">
                <v:rect id="Rectangle 12" o:spid="_x0000_s1026" style="width:239193;height:506778;mso-wrap-style:square;position:absolute;v-text-anchor:top;visibility:visible" filled="f" stroked="f">
                  <v:textbox inset="0,0,0,0">
                    <w:txbxContent>
                      <w:p w:rsidR="00D87C36">
                        <w:pPr>
                          <w:spacing w:after="160" w:line="259" w:lineRule="auto"/>
                          <w:ind w:left="0" w:firstLine="0"/>
                          <w:jc w:val="left"/>
                        </w:pPr>
                        <w:r>
                          <w:rPr>
                            <w:w w:val="2"/>
                            <w:sz w:val="66"/>
                          </w:rPr>
                          <w:t>0</w:t>
                        </w:r>
                      </w:p>
                    </w:txbxContent>
                  </v:textbox>
                </v:rect>
                <w10:wrap type="square"/>
              </v:group>
            </w:pict>
          </mc:Fallback>
        </mc:AlternateContent>
      </w:r>
      <w:r>
        <w:rPr>
          <w:lang w:val="tt"/>
        </w:rPr>
        <w:t>Кергән барлык мөрәҗәгатьләрне түбәндәге тематикага бүлеп карарга мөмкин:</w:t>
      </w:r>
    </w:p>
    <w:p w:rsidR="006231B5" w:rsidRDefault="006231B5">
      <w:pPr>
        <w:spacing w:after="37"/>
        <w:ind w:left="763" w:right="28" w:firstLine="0"/>
      </w:pPr>
    </w:p>
    <w:tbl>
      <w:tblPr>
        <w:tblStyle w:val="1"/>
        <w:tblW w:w="10206" w:type="dxa"/>
        <w:tblInd w:w="-5" w:type="dxa"/>
        <w:tblLook w:val="04A0" w:firstRow="1" w:lastRow="0" w:firstColumn="1" w:lastColumn="0" w:noHBand="0" w:noVBand="1"/>
      </w:tblPr>
      <w:tblGrid>
        <w:gridCol w:w="495"/>
        <w:gridCol w:w="5680"/>
        <w:gridCol w:w="2081"/>
        <w:gridCol w:w="1950"/>
      </w:tblGrid>
      <w:tr w:rsidR="00CB07CC" w:rsidTr="00033A08">
        <w:trPr>
          <w:trHeight w:val="328"/>
        </w:trPr>
        <w:tc>
          <w:tcPr>
            <w:tcW w:w="496" w:type="dxa"/>
          </w:tcPr>
          <w:p w:rsidR="00E03E15" w:rsidRPr="00E03E15" w:rsidRDefault="00D10915" w:rsidP="00E03E15">
            <w:pPr>
              <w:spacing w:after="0" w:line="240" w:lineRule="auto"/>
              <w:ind w:left="0" w:firstLine="0"/>
              <w:jc w:val="center"/>
              <w:rPr>
                <w:rFonts w:eastAsiaTheme="minorHAnsi"/>
                <w:color w:val="auto"/>
                <w:szCs w:val="28"/>
              </w:rPr>
            </w:pPr>
            <w:r w:rsidRPr="00E03E15">
              <w:rPr>
                <w:rFonts w:eastAsiaTheme="minorHAnsi"/>
                <w:color w:val="auto"/>
                <w:szCs w:val="28"/>
                <w:lang w:val="tt"/>
              </w:rPr>
              <w:t>№</w:t>
            </w:r>
          </w:p>
        </w:tc>
        <w:tc>
          <w:tcPr>
            <w:tcW w:w="6042" w:type="dxa"/>
          </w:tcPr>
          <w:p w:rsidR="00E03E15" w:rsidRPr="00E03E15" w:rsidRDefault="00D10915" w:rsidP="00E03E15">
            <w:pPr>
              <w:spacing w:after="0" w:line="240" w:lineRule="auto"/>
              <w:ind w:left="0" w:firstLine="0"/>
              <w:jc w:val="center"/>
              <w:rPr>
                <w:rFonts w:eastAsiaTheme="minorHAnsi"/>
                <w:color w:val="auto"/>
                <w:szCs w:val="28"/>
              </w:rPr>
            </w:pPr>
            <w:r>
              <w:rPr>
                <w:rFonts w:eastAsiaTheme="minorHAnsi"/>
                <w:color w:val="auto"/>
                <w:szCs w:val="28"/>
                <w:lang w:val="tt"/>
              </w:rPr>
              <w:t>Гражданнар мөрәҗәгатьләренең тематикасы</w:t>
            </w:r>
          </w:p>
        </w:tc>
        <w:tc>
          <w:tcPr>
            <w:tcW w:w="1617" w:type="dxa"/>
          </w:tcPr>
          <w:p w:rsidR="00E03E15" w:rsidRPr="00E03E15" w:rsidRDefault="00D10915" w:rsidP="00D10915">
            <w:pPr>
              <w:spacing w:after="0" w:line="240" w:lineRule="auto"/>
              <w:ind w:left="0" w:firstLine="0"/>
              <w:jc w:val="center"/>
              <w:rPr>
                <w:rFonts w:eastAsiaTheme="minorHAnsi"/>
                <w:color w:val="auto"/>
                <w:szCs w:val="28"/>
              </w:rPr>
            </w:pPr>
            <w:r w:rsidRPr="00E03E15">
              <w:rPr>
                <w:rFonts w:eastAsiaTheme="minorHAnsi"/>
                <w:color w:val="auto"/>
                <w:szCs w:val="28"/>
                <w:lang w:val="tt"/>
              </w:rPr>
              <w:t>Мөрәҗәгатьләр саны</w:t>
            </w:r>
          </w:p>
        </w:tc>
        <w:tc>
          <w:tcPr>
            <w:tcW w:w="2051" w:type="dxa"/>
          </w:tcPr>
          <w:p w:rsidR="00E03E15" w:rsidRPr="00E03E15" w:rsidRDefault="00D10915" w:rsidP="00E03E15">
            <w:pPr>
              <w:spacing w:after="0" w:line="240" w:lineRule="auto"/>
              <w:ind w:left="0" w:firstLine="0"/>
              <w:rPr>
                <w:rFonts w:eastAsiaTheme="minorHAnsi"/>
                <w:color w:val="auto"/>
                <w:szCs w:val="28"/>
              </w:rPr>
            </w:pPr>
            <w:r>
              <w:rPr>
                <w:rFonts w:eastAsiaTheme="minorHAnsi"/>
                <w:color w:val="auto"/>
                <w:szCs w:val="28"/>
                <w:lang w:val="tt"/>
              </w:rPr>
              <w:t xml:space="preserve">             %</w:t>
            </w:r>
          </w:p>
        </w:tc>
      </w:tr>
      <w:tr w:rsidR="00CB07CC" w:rsidTr="00033A08">
        <w:trPr>
          <w:trHeight w:val="328"/>
        </w:trPr>
        <w:tc>
          <w:tcPr>
            <w:tcW w:w="496"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1</w:t>
            </w:r>
          </w:p>
        </w:tc>
        <w:tc>
          <w:tcPr>
            <w:tcW w:w="6042"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Дәүләт, җәмгыять, сәясәт</w:t>
            </w:r>
          </w:p>
        </w:tc>
        <w:tc>
          <w:tcPr>
            <w:tcW w:w="1617"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70</w:t>
            </w:r>
          </w:p>
        </w:tc>
        <w:tc>
          <w:tcPr>
            <w:tcW w:w="2051"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19,88%</w:t>
            </w:r>
          </w:p>
        </w:tc>
      </w:tr>
      <w:tr w:rsidR="00CB07CC" w:rsidTr="00033A08">
        <w:trPr>
          <w:trHeight w:val="328"/>
        </w:trPr>
        <w:tc>
          <w:tcPr>
            <w:tcW w:w="496" w:type="dxa"/>
          </w:tcPr>
          <w:p w:rsidR="00BC6E26" w:rsidRDefault="00D10915" w:rsidP="00BC6E26">
            <w:pPr>
              <w:spacing w:after="0" w:line="240" w:lineRule="auto"/>
              <w:ind w:left="0" w:firstLine="0"/>
              <w:rPr>
                <w:rFonts w:eastAsiaTheme="minorHAnsi"/>
                <w:color w:val="auto"/>
                <w:szCs w:val="28"/>
              </w:rPr>
            </w:pPr>
            <w:r>
              <w:rPr>
                <w:rFonts w:eastAsiaTheme="minorHAnsi"/>
                <w:color w:val="auto"/>
                <w:szCs w:val="28"/>
                <w:lang w:val="tt"/>
              </w:rPr>
              <w:t>2</w:t>
            </w:r>
          </w:p>
        </w:tc>
        <w:tc>
          <w:tcPr>
            <w:tcW w:w="6042"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Торак-коммуналь өлкә</w:t>
            </w:r>
          </w:p>
        </w:tc>
        <w:tc>
          <w:tcPr>
            <w:tcW w:w="1617"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64</w:t>
            </w:r>
          </w:p>
        </w:tc>
        <w:tc>
          <w:tcPr>
            <w:tcW w:w="2051" w:type="dxa"/>
          </w:tcPr>
          <w:p w:rsidR="00BC6E26"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18,18%</w:t>
            </w:r>
          </w:p>
        </w:tc>
      </w:tr>
      <w:tr w:rsidR="00CB07CC" w:rsidTr="00033A08">
        <w:trPr>
          <w:trHeight w:val="328"/>
        </w:trPr>
        <w:tc>
          <w:tcPr>
            <w:tcW w:w="496"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3</w:t>
            </w:r>
          </w:p>
        </w:tc>
        <w:tc>
          <w:tcPr>
            <w:tcW w:w="6042"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Оборона, иминлек, законлылык</w:t>
            </w:r>
          </w:p>
        </w:tc>
        <w:tc>
          <w:tcPr>
            <w:tcW w:w="1617"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10</w:t>
            </w:r>
          </w:p>
        </w:tc>
        <w:tc>
          <w:tcPr>
            <w:tcW w:w="2051"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2,84%</w:t>
            </w:r>
          </w:p>
        </w:tc>
      </w:tr>
      <w:tr w:rsidR="00CB07CC" w:rsidTr="00033A08">
        <w:trPr>
          <w:trHeight w:val="328"/>
        </w:trPr>
        <w:tc>
          <w:tcPr>
            <w:tcW w:w="496"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4</w:t>
            </w:r>
          </w:p>
        </w:tc>
        <w:tc>
          <w:tcPr>
            <w:tcW w:w="6042"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Социаль өлкә</w:t>
            </w:r>
          </w:p>
        </w:tc>
        <w:tc>
          <w:tcPr>
            <w:tcW w:w="1617"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116</w:t>
            </w:r>
          </w:p>
        </w:tc>
        <w:tc>
          <w:tcPr>
            <w:tcW w:w="2051"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32,95%</w:t>
            </w:r>
          </w:p>
        </w:tc>
      </w:tr>
      <w:tr w:rsidR="00CB07CC" w:rsidTr="00033A08">
        <w:trPr>
          <w:trHeight w:val="328"/>
        </w:trPr>
        <w:tc>
          <w:tcPr>
            <w:tcW w:w="496"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5</w:t>
            </w:r>
          </w:p>
        </w:tc>
        <w:tc>
          <w:tcPr>
            <w:tcW w:w="6042" w:type="dxa"/>
          </w:tcPr>
          <w:p w:rsidR="00BC6E26" w:rsidRPr="00E03E15" w:rsidRDefault="00D10915" w:rsidP="00BC6E26">
            <w:pPr>
              <w:spacing w:after="0" w:line="240" w:lineRule="auto"/>
              <w:ind w:left="0" w:firstLine="0"/>
              <w:rPr>
                <w:rFonts w:eastAsiaTheme="minorHAnsi"/>
                <w:color w:val="auto"/>
                <w:szCs w:val="28"/>
              </w:rPr>
            </w:pPr>
            <w:r>
              <w:rPr>
                <w:rFonts w:eastAsiaTheme="minorHAnsi"/>
                <w:color w:val="auto"/>
                <w:szCs w:val="28"/>
                <w:lang w:val="tt"/>
              </w:rPr>
              <w:t>Икътисад</w:t>
            </w:r>
          </w:p>
        </w:tc>
        <w:tc>
          <w:tcPr>
            <w:tcW w:w="1617"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92</w:t>
            </w:r>
          </w:p>
        </w:tc>
        <w:tc>
          <w:tcPr>
            <w:tcW w:w="2051" w:type="dxa"/>
          </w:tcPr>
          <w:p w:rsidR="00BC6E26" w:rsidRPr="00E03E15" w:rsidRDefault="00D10915" w:rsidP="00BC6E26">
            <w:pPr>
              <w:spacing w:after="0" w:line="240" w:lineRule="auto"/>
              <w:ind w:left="0" w:firstLine="0"/>
              <w:jc w:val="center"/>
              <w:rPr>
                <w:rFonts w:eastAsiaTheme="minorHAnsi"/>
                <w:color w:val="auto"/>
                <w:szCs w:val="28"/>
              </w:rPr>
            </w:pPr>
            <w:r>
              <w:rPr>
                <w:rFonts w:eastAsiaTheme="minorHAnsi"/>
                <w:color w:val="auto"/>
                <w:szCs w:val="28"/>
                <w:lang w:val="tt"/>
              </w:rPr>
              <w:t>26,13%</w:t>
            </w:r>
          </w:p>
        </w:tc>
      </w:tr>
      <w:tr w:rsidR="00CB07CC" w:rsidTr="00033A08">
        <w:trPr>
          <w:trHeight w:val="328"/>
        </w:trPr>
        <w:tc>
          <w:tcPr>
            <w:tcW w:w="496" w:type="dxa"/>
          </w:tcPr>
          <w:p w:rsidR="00B25F42" w:rsidRDefault="00B25F42" w:rsidP="00B25F42">
            <w:pPr>
              <w:spacing w:after="0" w:line="240" w:lineRule="auto"/>
              <w:ind w:left="0" w:firstLine="0"/>
              <w:rPr>
                <w:rFonts w:eastAsiaTheme="minorHAnsi"/>
                <w:color w:val="auto"/>
                <w:szCs w:val="28"/>
              </w:rPr>
            </w:pPr>
          </w:p>
        </w:tc>
        <w:tc>
          <w:tcPr>
            <w:tcW w:w="6042" w:type="dxa"/>
          </w:tcPr>
          <w:p w:rsidR="00B25F42" w:rsidRPr="002F465F" w:rsidRDefault="00D10915" w:rsidP="00B25F42">
            <w:pPr>
              <w:spacing w:after="0" w:line="240" w:lineRule="auto"/>
              <w:ind w:left="0" w:firstLine="0"/>
              <w:rPr>
                <w:rFonts w:eastAsiaTheme="minorHAnsi"/>
                <w:b/>
                <w:color w:val="auto"/>
                <w:szCs w:val="28"/>
              </w:rPr>
            </w:pPr>
            <w:r w:rsidRPr="002F465F">
              <w:rPr>
                <w:rFonts w:eastAsiaTheme="minorHAnsi"/>
                <w:b/>
                <w:color w:val="auto"/>
                <w:szCs w:val="28"/>
                <w:lang w:val="tt"/>
              </w:rPr>
              <w:t>Барлыгы:</w:t>
            </w:r>
          </w:p>
        </w:tc>
        <w:tc>
          <w:tcPr>
            <w:tcW w:w="1617" w:type="dxa"/>
          </w:tcPr>
          <w:p w:rsidR="00B25F42" w:rsidRPr="002F465F" w:rsidRDefault="00D10915" w:rsidP="00E06558">
            <w:pPr>
              <w:spacing w:after="0" w:line="240" w:lineRule="auto"/>
              <w:ind w:left="0" w:firstLine="0"/>
              <w:jc w:val="center"/>
              <w:rPr>
                <w:rFonts w:eastAsiaTheme="minorHAnsi"/>
                <w:b/>
                <w:color w:val="auto"/>
                <w:szCs w:val="28"/>
              </w:rPr>
            </w:pPr>
            <w:r>
              <w:rPr>
                <w:rFonts w:eastAsiaTheme="minorHAnsi"/>
                <w:b/>
                <w:color w:val="auto"/>
                <w:szCs w:val="28"/>
                <w:lang w:val="tt"/>
              </w:rPr>
              <w:t>352</w:t>
            </w:r>
          </w:p>
        </w:tc>
        <w:tc>
          <w:tcPr>
            <w:tcW w:w="2051" w:type="dxa"/>
          </w:tcPr>
          <w:p w:rsidR="00B25F42" w:rsidRPr="002F465F" w:rsidRDefault="00D10915" w:rsidP="00E06558">
            <w:pPr>
              <w:spacing w:after="0" w:line="240" w:lineRule="auto"/>
              <w:ind w:left="0" w:firstLine="0"/>
              <w:jc w:val="center"/>
              <w:rPr>
                <w:rFonts w:eastAsiaTheme="minorHAnsi"/>
                <w:b/>
                <w:color w:val="auto"/>
                <w:szCs w:val="28"/>
              </w:rPr>
            </w:pPr>
            <w:r>
              <w:rPr>
                <w:rFonts w:eastAsiaTheme="minorHAnsi"/>
                <w:b/>
                <w:color w:val="auto"/>
                <w:szCs w:val="28"/>
                <w:lang w:val="tt"/>
              </w:rPr>
              <w:t>100%</w:t>
            </w:r>
          </w:p>
        </w:tc>
      </w:tr>
      <w:tr w:rsidR="00CB07CC" w:rsidTr="00033A08">
        <w:trPr>
          <w:trHeight w:val="328"/>
        </w:trPr>
        <w:tc>
          <w:tcPr>
            <w:tcW w:w="496" w:type="dxa"/>
          </w:tcPr>
          <w:p w:rsidR="00B25F42" w:rsidRPr="00E03E15" w:rsidRDefault="00D10915" w:rsidP="00B25F42">
            <w:pPr>
              <w:spacing w:after="0" w:line="240" w:lineRule="auto"/>
              <w:ind w:left="0" w:firstLine="0"/>
              <w:rPr>
                <w:rFonts w:eastAsiaTheme="minorHAnsi"/>
                <w:color w:val="auto"/>
                <w:szCs w:val="28"/>
              </w:rPr>
            </w:pPr>
            <w:r>
              <w:rPr>
                <w:rFonts w:eastAsiaTheme="minorHAnsi"/>
                <w:color w:val="auto"/>
                <w:szCs w:val="28"/>
                <w:lang w:val="tt"/>
              </w:rPr>
              <w:t>1</w:t>
            </w:r>
          </w:p>
        </w:tc>
        <w:tc>
          <w:tcPr>
            <w:tcW w:w="6042" w:type="dxa"/>
          </w:tcPr>
          <w:p w:rsidR="00B25F42" w:rsidRPr="00E03E15" w:rsidRDefault="00D10915" w:rsidP="00B25F42">
            <w:pPr>
              <w:spacing w:after="0" w:line="240" w:lineRule="auto"/>
              <w:ind w:left="0" w:firstLine="0"/>
              <w:rPr>
                <w:rFonts w:eastAsiaTheme="minorHAnsi"/>
                <w:color w:val="auto"/>
                <w:szCs w:val="28"/>
              </w:rPr>
            </w:pPr>
            <w:r w:rsidRPr="00E03E15">
              <w:rPr>
                <w:rFonts w:eastAsiaTheme="minorHAnsi"/>
                <w:color w:val="auto"/>
                <w:szCs w:val="28"/>
                <w:lang w:val="tt"/>
              </w:rPr>
              <w:t xml:space="preserve"> Уңай җавап бирелгән,  гражданнар мөрәҗәгатьләре саны </w:t>
            </w:r>
          </w:p>
        </w:tc>
        <w:tc>
          <w:tcPr>
            <w:tcW w:w="1617" w:type="dxa"/>
          </w:tcPr>
          <w:p w:rsidR="00B25F42" w:rsidRPr="00E03E15" w:rsidRDefault="00D10915" w:rsidP="00E06558">
            <w:pPr>
              <w:spacing w:after="0" w:line="240" w:lineRule="auto"/>
              <w:ind w:left="0" w:firstLine="0"/>
              <w:jc w:val="center"/>
              <w:rPr>
                <w:rFonts w:eastAsiaTheme="minorHAnsi"/>
                <w:color w:val="auto"/>
                <w:szCs w:val="28"/>
              </w:rPr>
            </w:pPr>
            <w:r>
              <w:rPr>
                <w:rFonts w:eastAsiaTheme="minorHAnsi"/>
                <w:color w:val="auto"/>
                <w:szCs w:val="28"/>
                <w:lang w:val="tt"/>
              </w:rPr>
              <w:t>59</w:t>
            </w:r>
          </w:p>
        </w:tc>
        <w:tc>
          <w:tcPr>
            <w:tcW w:w="2051" w:type="dxa"/>
          </w:tcPr>
          <w:p w:rsidR="00B25F42" w:rsidRPr="00E03E15" w:rsidRDefault="00D10915" w:rsidP="00E06558">
            <w:pPr>
              <w:spacing w:after="0" w:line="240" w:lineRule="auto"/>
              <w:ind w:left="0" w:firstLine="0"/>
              <w:jc w:val="center"/>
              <w:rPr>
                <w:rFonts w:eastAsiaTheme="minorHAnsi"/>
                <w:color w:val="auto"/>
                <w:szCs w:val="28"/>
              </w:rPr>
            </w:pPr>
            <w:r>
              <w:rPr>
                <w:rFonts w:eastAsiaTheme="minorHAnsi"/>
                <w:color w:val="auto"/>
                <w:szCs w:val="28"/>
                <w:lang w:val="tt"/>
              </w:rPr>
              <w:t>16,77%</w:t>
            </w:r>
          </w:p>
        </w:tc>
      </w:tr>
      <w:tr w:rsidR="00CB07CC" w:rsidTr="00033A08">
        <w:trPr>
          <w:trHeight w:val="328"/>
        </w:trPr>
        <w:tc>
          <w:tcPr>
            <w:tcW w:w="496" w:type="dxa"/>
          </w:tcPr>
          <w:p w:rsidR="00B25F42" w:rsidRPr="00E03E15" w:rsidRDefault="00D10915" w:rsidP="00B25F42">
            <w:pPr>
              <w:spacing w:after="0" w:line="240" w:lineRule="auto"/>
              <w:ind w:left="0" w:firstLine="0"/>
              <w:rPr>
                <w:rFonts w:eastAsiaTheme="minorHAnsi"/>
                <w:color w:val="auto"/>
                <w:szCs w:val="28"/>
              </w:rPr>
            </w:pPr>
            <w:r>
              <w:rPr>
                <w:rFonts w:eastAsiaTheme="minorHAnsi"/>
                <w:color w:val="auto"/>
                <w:szCs w:val="28"/>
                <w:lang w:val="tt"/>
              </w:rPr>
              <w:t>2</w:t>
            </w:r>
          </w:p>
        </w:tc>
        <w:tc>
          <w:tcPr>
            <w:tcW w:w="6042" w:type="dxa"/>
          </w:tcPr>
          <w:p w:rsidR="00B25F42" w:rsidRPr="00E03E15" w:rsidRDefault="00D10915" w:rsidP="00B25F42">
            <w:pPr>
              <w:spacing w:after="0" w:line="240" w:lineRule="auto"/>
              <w:ind w:left="0" w:firstLine="0"/>
              <w:rPr>
                <w:rFonts w:eastAsiaTheme="minorHAnsi"/>
                <w:color w:val="auto"/>
                <w:szCs w:val="28"/>
              </w:rPr>
            </w:pPr>
            <w:r w:rsidRPr="00E03E15">
              <w:rPr>
                <w:rFonts w:eastAsiaTheme="minorHAnsi"/>
                <w:color w:val="auto"/>
                <w:szCs w:val="28"/>
                <w:lang w:val="tt"/>
              </w:rPr>
              <w:t xml:space="preserve">Аңлатмалар бирелгән, гражданнар мөрәҗәгатьләре саны </w:t>
            </w:r>
          </w:p>
        </w:tc>
        <w:tc>
          <w:tcPr>
            <w:tcW w:w="1617" w:type="dxa"/>
          </w:tcPr>
          <w:p w:rsidR="00B25F42" w:rsidRPr="00E03E15" w:rsidRDefault="00D10915" w:rsidP="00E06558">
            <w:pPr>
              <w:spacing w:after="0" w:line="240" w:lineRule="auto"/>
              <w:ind w:left="0" w:firstLine="0"/>
              <w:jc w:val="center"/>
              <w:rPr>
                <w:rFonts w:eastAsiaTheme="minorHAnsi"/>
                <w:color w:val="auto"/>
                <w:szCs w:val="28"/>
              </w:rPr>
            </w:pPr>
            <w:r>
              <w:rPr>
                <w:rFonts w:eastAsiaTheme="minorHAnsi"/>
                <w:color w:val="auto"/>
                <w:szCs w:val="28"/>
                <w:lang w:val="tt"/>
              </w:rPr>
              <w:t>293</w:t>
            </w:r>
          </w:p>
        </w:tc>
        <w:tc>
          <w:tcPr>
            <w:tcW w:w="2051" w:type="dxa"/>
          </w:tcPr>
          <w:p w:rsidR="00B25F42" w:rsidRPr="00E03E15" w:rsidRDefault="00D10915" w:rsidP="00E06558">
            <w:pPr>
              <w:spacing w:after="0" w:line="240" w:lineRule="auto"/>
              <w:ind w:left="0" w:firstLine="0"/>
              <w:jc w:val="center"/>
              <w:rPr>
                <w:rFonts w:eastAsiaTheme="minorHAnsi"/>
                <w:color w:val="auto"/>
                <w:szCs w:val="28"/>
              </w:rPr>
            </w:pPr>
            <w:r>
              <w:rPr>
                <w:rFonts w:eastAsiaTheme="minorHAnsi"/>
                <w:color w:val="auto"/>
                <w:szCs w:val="28"/>
                <w:lang w:val="tt"/>
              </w:rPr>
              <w:t>83,23%</w:t>
            </w:r>
          </w:p>
        </w:tc>
      </w:tr>
      <w:tr w:rsidR="00CB07CC" w:rsidTr="00033A08">
        <w:trPr>
          <w:trHeight w:val="328"/>
        </w:trPr>
        <w:tc>
          <w:tcPr>
            <w:tcW w:w="496" w:type="dxa"/>
          </w:tcPr>
          <w:p w:rsidR="00B25F42" w:rsidRPr="00E03E15" w:rsidRDefault="00B25F42" w:rsidP="00B25F42">
            <w:pPr>
              <w:spacing w:after="0" w:line="240" w:lineRule="auto"/>
              <w:ind w:left="0" w:firstLine="0"/>
              <w:rPr>
                <w:rFonts w:eastAsiaTheme="minorHAnsi"/>
                <w:color w:val="auto"/>
                <w:szCs w:val="28"/>
              </w:rPr>
            </w:pPr>
          </w:p>
        </w:tc>
        <w:tc>
          <w:tcPr>
            <w:tcW w:w="6042" w:type="dxa"/>
          </w:tcPr>
          <w:p w:rsidR="00B25F42" w:rsidRPr="00E03E15" w:rsidRDefault="00D10915" w:rsidP="00B25F42">
            <w:pPr>
              <w:spacing w:after="0" w:line="240" w:lineRule="auto"/>
              <w:ind w:left="0" w:firstLine="0"/>
              <w:rPr>
                <w:rFonts w:eastAsiaTheme="minorHAnsi"/>
                <w:b/>
                <w:color w:val="auto"/>
                <w:szCs w:val="28"/>
              </w:rPr>
            </w:pPr>
            <w:r>
              <w:rPr>
                <w:rFonts w:eastAsiaTheme="minorHAnsi"/>
                <w:b/>
                <w:color w:val="auto"/>
                <w:szCs w:val="28"/>
                <w:lang w:val="tt"/>
              </w:rPr>
              <w:t>Барлыгы:</w:t>
            </w:r>
          </w:p>
        </w:tc>
        <w:tc>
          <w:tcPr>
            <w:tcW w:w="1617" w:type="dxa"/>
          </w:tcPr>
          <w:p w:rsidR="00B25F42" w:rsidRPr="00E03E15" w:rsidRDefault="00D10915" w:rsidP="00E06558">
            <w:pPr>
              <w:spacing w:after="0" w:line="240" w:lineRule="auto"/>
              <w:ind w:left="0" w:firstLine="0"/>
              <w:jc w:val="center"/>
              <w:rPr>
                <w:rFonts w:eastAsiaTheme="minorHAnsi"/>
                <w:b/>
                <w:color w:val="auto"/>
                <w:szCs w:val="28"/>
              </w:rPr>
            </w:pPr>
            <w:r>
              <w:rPr>
                <w:rFonts w:eastAsiaTheme="minorHAnsi"/>
                <w:b/>
                <w:color w:val="auto"/>
                <w:szCs w:val="28"/>
                <w:lang w:val="tt"/>
              </w:rPr>
              <w:t>352</w:t>
            </w:r>
          </w:p>
        </w:tc>
        <w:tc>
          <w:tcPr>
            <w:tcW w:w="2051" w:type="dxa"/>
          </w:tcPr>
          <w:p w:rsidR="00B25F42" w:rsidRPr="00E03E15" w:rsidRDefault="00D10915" w:rsidP="00E06558">
            <w:pPr>
              <w:spacing w:after="0" w:line="240" w:lineRule="auto"/>
              <w:ind w:left="0" w:firstLine="0"/>
              <w:jc w:val="center"/>
              <w:rPr>
                <w:rFonts w:eastAsiaTheme="minorHAnsi"/>
                <w:color w:val="auto"/>
                <w:szCs w:val="28"/>
              </w:rPr>
            </w:pPr>
            <w:r>
              <w:rPr>
                <w:rFonts w:eastAsiaTheme="minorHAnsi"/>
                <w:color w:val="auto"/>
                <w:szCs w:val="28"/>
                <w:lang w:val="tt"/>
              </w:rPr>
              <w:t>100%</w:t>
            </w:r>
          </w:p>
        </w:tc>
      </w:tr>
    </w:tbl>
    <w:p w:rsidR="0053727E" w:rsidRDefault="0053727E">
      <w:pPr>
        <w:ind w:left="33" w:right="28"/>
      </w:pPr>
    </w:p>
    <w:p w:rsidR="00D87C36" w:rsidRPr="00D10915" w:rsidRDefault="00D10915" w:rsidP="00311DF2">
      <w:pPr>
        <w:ind w:left="33" w:right="28"/>
        <w:rPr>
          <w:lang w:val="tt"/>
        </w:rPr>
      </w:pPr>
      <w:r>
        <w:rPr>
          <w:lang w:val="tt"/>
        </w:rPr>
        <w:t xml:space="preserve">Мөрәҗәгатьләр буенча «Социаль өлкә» тематикасына кагылышлы мәсьәләләр актуаль булып кала. Әлеге категория буенча мөрәҗәгатьләр өлеше 2023 елда 32,95% тәшкил иткән (116 мөрәҗәгать). Югары уку йортларына кергәндә халыкны социаль тәэмин итү темалары, ташламалар һәм матди ярдәм, максатчан юнәлеш мәсьәләләре аеруча аерылып тора. </w:t>
      </w:r>
    </w:p>
    <w:p w:rsidR="00406EBB" w:rsidRPr="00D10915" w:rsidRDefault="00D10915" w:rsidP="00406EBB">
      <w:pPr>
        <w:ind w:left="33" w:right="28"/>
        <w:rPr>
          <w:lang w:val="tt"/>
        </w:rPr>
      </w:pPr>
      <w:r>
        <w:rPr>
          <w:lang w:val="tt"/>
        </w:rPr>
        <w:t>Тематик мәсьәләләр дәүләт, җәмгыять, сәясәт 70 (19.88%) мөрәҗәгатьләргә кагылган. Әлеге тематик блокта иҗтимагый һәм дини берләшмәләр, сәяси партияләр һәм иҗтимагый берләшмәләр мәсьәләләре бар.</w:t>
      </w:r>
    </w:p>
    <w:p w:rsidR="00331033" w:rsidRPr="00D10915" w:rsidRDefault="00D10915" w:rsidP="00406EBB">
      <w:pPr>
        <w:ind w:left="33" w:right="28"/>
        <w:rPr>
          <w:lang w:val="tt"/>
        </w:rPr>
      </w:pPr>
      <w:r>
        <w:rPr>
          <w:lang w:val="tt"/>
        </w:rPr>
        <w:t>Тематик структурада шулай ук шактый өлешне «Икътисад» категориясе алып тора, анда юл хуҗалыгы, территорияне төзекләндерү мәсьәләләре карала.</w:t>
      </w:r>
    </w:p>
    <w:p w:rsidR="00406EBB" w:rsidRPr="00D10915" w:rsidRDefault="00D10915" w:rsidP="00406EBB">
      <w:pPr>
        <w:ind w:left="33" w:right="28"/>
        <w:rPr>
          <w:lang w:val="tt"/>
        </w:rPr>
      </w:pPr>
      <w:r>
        <w:rPr>
          <w:lang w:val="tt"/>
        </w:rPr>
        <w:t>Торак-коммуналь өлкәгә бәйле мәсьәләләр 64 (18,18%) мөрәҗәгатьтә билгеләнгән. Гомуми мөлкәтне карап тотуның тиешле сыйфаты, күпфатирлы йортларда капиталь ремонт үткәрү турындагы мәсьәләләр кузгатылды.</w:t>
      </w:r>
    </w:p>
    <w:p w:rsidR="00D10915" w:rsidRDefault="00D10915" w:rsidP="006C16F9">
      <w:pPr>
        <w:spacing w:after="27" w:line="218" w:lineRule="auto"/>
        <w:ind w:left="34" w:firstLine="730"/>
        <w:rPr>
          <w:lang w:val="tt"/>
        </w:rPr>
      </w:pPr>
      <w:r>
        <w:rPr>
          <w:noProof/>
        </w:rPr>
        <w:lastRenderedPageBreak/>
        <w:drawing>
          <wp:anchor distT="0" distB="0" distL="114300" distR="114300" simplePos="0" relativeHeight="251662336" behindDoc="0" locked="0" layoutInCell="1" allowOverlap="0">
            <wp:simplePos x="0" y="0"/>
            <wp:positionH relativeFrom="page">
              <wp:posOffset>7178523</wp:posOffset>
            </wp:positionH>
            <wp:positionV relativeFrom="page">
              <wp:posOffset>2459970</wp:posOffset>
            </wp:positionV>
            <wp:extent cx="12193" cy="12193"/>
            <wp:effectExtent l="0" t="0" r="0" b="0"/>
            <wp:wrapSquare wrapText="bothSides"/>
            <wp:docPr id="4600" name="Picture 4600"/>
            <wp:cNvGraphicFramePr/>
            <a:graphic xmlns:a="http://schemas.openxmlformats.org/drawingml/2006/main">
              <a:graphicData uri="http://schemas.openxmlformats.org/drawingml/2006/picture">
                <pic:pic xmlns:pic="http://schemas.openxmlformats.org/drawingml/2006/picture">
                  <pic:nvPicPr>
                    <pic:cNvPr id="2092434417" name="Picture 4600"/>
                    <pic:cNvPicPr/>
                  </pic:nvPicPr>
                  <pic:blipFill>
                    <a:blip r:embed="rId7"/>
                    <a:stretch>
                      <a:fillRect/>
                    </a:stretch>
                  </pic:blipFill>
                  <pic:spPr>
                    <a:xfrm>
                      <a:off x="0" y="0"/>
                      <a:ext cx="12193" cy="12193"/>
                    </a:xfrm>
                    <a:prstGeom prst="rect">
                      <a:avLst/>
                    </a:prstGeom>
                  </pic:spPr>
                </pic:pic>
              </a:graphicData>
            </a:graphic>
          </wp:anchor>
        </w:drawing>
      </w:r>
      <w:r>
        <w:rPr>
          <w:lang w:val="tt"/>
        </w:rPr>
        <w:t>Гражданнарны кабул итү графигы расланды. Халык өчен муниципаль район Башлыгы, аның урынбасары, Башкарма комитет җитәкчесе, аның урынбасарлары, структур бүлекчәләр башлыклары гражданнарны шәхси кабул итә.</w:t>
      </w:r>
      <w:r>
        <w:rPr>
          <w:lang w:val="tt"/>
        </w:rPr>
        <w:tab/>
      </w:r>
    </w:p>
    <w:p w:rsidR="00D87C36" w:rsidRPr="00D10915" w:rsidRDefault="00D10915" w:rsidP="006C16F9">
      <w:pPr>
        <w:spacing w:after="27" w:line="218" w:lineRule="auto"/>
        <w:ind w:left="34" w:firstLine="730"/>
        <w:rPr>
          <w:lang w:val="tt"/>
        </w:rPr>
      </w:pPr>
      <w:r>
        <w:rPr>
          <w:lang w:val="tt"/>
        </w:rPr>
        <w:t>Бердәм кабул итү көне  — сишәмбе. Кирәкле документлар (шәхси кабул итү карточкалары яки кайбер бүлекчәләрдә журналлар) законнар нигезендә рәсмиләштерелә. Бүлекчә җитәкчеләре урынбасарлары кабул итүне сишәмбе көннәрендә генә түгел, кирәк булганда алдан язылмыйча да алып баралар. Гражданнарның күчмә кабул итүләре, район җитәкчеләренең халык белән даими очрашулары, «кайнар линия» эшли, муниципаль район Башлыгының Интернет-кабул итү бүлмәсе эшли.</w:t>
      </w:r>
    </w:p>
    <w:p w:rsidR="005E4A95" w:rsidRPr="00D10915" w:rsidRDefault="00D10915">
      <w:pPr>
        <w:ind w:left="33" w:right="28"/>
        <w:rPr>
          <w:lang w:val="tt"/>
        </w:rPr>
      </w:pPr>
      <w:r>
        <w:rPr>
          <w:lang w:val="tt"/>
        </w:rPr>
        <w:t xml:space="preserve">Кергән барлык мөрәҗәгатьләр контрольгә алынды. 15,8% (47) мөрәҗәгатьләр уңай хәл ителде. </w:t>
      </w:r>
    </w:p>
    <w:p w:rsidR="00153A76" w:rsidRPr="00D10915" w:rsidRDefault="00153A76" w:rsidP="006C1349">
      <w:pPr>
        <w:ind w:left="33" w:right="28" w:hanging="33"/>
        <w:rPr>
          <w:lang w:val="tt"/>
        </w:rPr>
      </w:pPr>
    </w:p>
    <w:p w:rsidR="00F34EFB" w:rsidRPr="00D10915" w:rsidRDefault="00F34EFB" w:rsidP="006C1349">
      <w:pPr>
        <w:ind w:left="33" w:right="28" w:hanging="33"/>
        <w:rPr>
          <w:lang w:val="tt"/>
        </w:rPr>
      </w:pPr>
    </w:p>
    <w:p w:rsidR="00D10915" w:rsidRDefault="00D10915" w:rsidP="006C1349">
      <w:pPr>
        <w:ind w:left="33" w:right="28" w:hanging="33"/>
        <w:rPr>
          <w:lang w:val="tt"/>
        </w:rPr>
      </w:pPr>
      <w:r>
        <w:rPr>
          <w:lang w:val="tt"/>
        </w:rPr>
        <w:t xml:space="preserve">Актаныш муниципаль районы </w:t>
      </w:r>
    </w:p>
    <w:p w:rsidR="006C1349" w:rsidRPr="00D10915" w:rsidRDefault="00D10915" w:rsidP="006C1349">
      <w:pPr>
        <w:ind w:left="33" w:right="28" w:hanging="33"/>
        <w:rPr>
          <w:lang w:val="tt"/>
        </w:rPr>
      </w:pPr>
      <w:r>
        <w:rPr>
          <w:lang w:val="tt"/>
        </w:rPr>
        <w:t xml:space="preserve">гомуми бүлек башлыгы                                                                              Н.Ф.Сәрвәрова                                                                                                        </w:t>
      </w:r>
    </w:p>
    <w:sectPr w:rsidR="006C1349" w:rsidRPr="00D10915" w:rsidSect="00406EBB">
      <w:pgSz w:w="11900" w:h="16840"/>
      <w:pgMar w:top="1143" w:right="701"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36"/>
    <w:rsid w:val="00017AAE"/>
    <w:rsid w:val="00033A08"/>
    <w:rsid w:val="000638A2"/>
    <w:rsid w:val="00090A7C"/>
    <w:rsid w:val="000B12A8"/>
    <w:rsid w:val="00105723"/>
    <w:rsid w:val="00151314"/>
    <w:rsid w:val="00153A76"/>
    <w:rsid w:val="0016504E"/>
    <w:rsid w:val="00192D1B"/>
    <w:rsid w:val="00193611"/>
    <w:rsid w:val="001A0691"/>
    <w:rsid w:val="001E294D"/>
    <w:rsid w:val="002230A6"/>
    <w:rsid w:val="00233D6C"/>
    <w:rsid w:val="00261DD9"/>
    <w:rsid w:val="002629DA"/>
    <w:rsid w:val="002846EF"/>
    <w:rsid w:val="002A2793"/>
    <w:rsid w:val="002F465F"/>
    <w:rsid w:val="00311DF2"/>
    <w:rsid w:val="00331033"/>
    <w:rsid w:val="00337CDE"/>
    <w:rsid w:val="00351958"/>
    <w:rsid w:val="003652BD"/>
    <w:rsid w:val="003842F7"/>
    <w:rsid w:val="00396737"/>
    <w:rsid w:val="003E4628"/>
    <w:rsid w:val="00406EBB"/>
    <w:rsid w:val="00412529"/>
    <w:rsid w:val="004246ED"/>
    <w:rsid w:val="00487812"/>
    <w:rsid w:val="004A028A"/>
    <w:rsid w:val="004F0130"/>
    <w:rsid w:val="0053727E"/>
    <w:rsid w:val="005536BA"/>
    <w:rsid w:val="005E3F8C"/>
    <w:rsid w:val="005E4A95"/>
    <w:rsid w:val="006231B5"/>
    <w:rsid w:val="006C0FD4"/>
    <w:rsid w:val="006C1349"/>
    <w:rsid w:val="006C16F9"/>
    <w:rsid w:val="00713073"/>
    <w:rsid w:val="00786577"/>
    <w:rsid w:val="008051AF"/>
    <w:rsid w:val="0082039A"/>
    <w:rsid w:val="00850493"/>
    <w:rsid w:val="008C534C"/>
    <w:rsid w:val="00904AA5"/>
    <w:rsid w:val="00940F5D"/>
    <w:rsid w:val="00944181"/>
    <w:rsid w:val="0097544D"/>
    <w:rsid w:val="00995D47"/>
    <w:rsid w:val="0099724B"/>
    <w:rsid w:val="00A20C11"/>
    <w:rsid w:val="00A266E3"/>
    <w:rsid w:val="00A54F4A"/>
    <w:rsid w:val="00AB315E"/>
    <w:rsid w:val="00AC398A"/>
    <w:rsid w:val="00B25BEE"/>
    <w:rsid w:val="00B25F42"/>
    <w:rsid w:val="00B415B4"/>
    <w:rsid w:val="00BB50F7"/>
    <w:rsid w:val="00BC07AE"/>
    <w:rsid w:val="00BC6E26"/>
    <w:rsid w:val="00C11F17"/>
    <w:rsid w:val="00C16E89"/>
    <w:rsid w:val="00C56FC4"/>
    <w:rsid w:val="00C80D4E"/>
    <w:rsid w:val="00C8122D"/>
    <w:rsid w:val="00CB07CC"/>
    <w:rsid w:val="00CD28D3"/>
    <w:rsid w:val="00D10915"/>
    <w:rsid w:val="00D33420"/>
    <w:rsid w:val="00D72C3F"/>
    <w:rsid w:val="00D87C36"/>
    <w:rsid w:val="00D90061"/>
    <w:rsid w:val="00D976D6"/>
    <w:rsid w:val="00DD3025"/>
    <w:rsid w:val="00E03E15"/>
    <w:rsid w:val="00E06558"/>
    <w:rsid w:val="00E23A5E"/>
    <w:rsid w:val="00E345C3"/>
    <w:rsid w:val="00E62545"/>
    <w:rsid w:val="00E66826"/>
    <w:rsid w:val="00E67CD6"/>
    <w:rsid w:val="00E85E3D"/>
    <w:rsid w:val="00E91394"/>
    <w:rsid w:val="00ED0ED1"/>
    <w:rsid w:val="00F12CD8"/>
    <w:rsid w:val="00F345DC"/>
    <w:rsid w:val="00F34EFB"/>
    <w:rsid w:val="00F819C0"/>
    <w:rsid w:val="00F8237E"/>
    <w:rsid w:val="00FE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3E487-F778-41CC-A60A-7A09D7B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27" w:lineRule="auto"/>
      <w:ind w:left="6826" w:firstLine="724"/>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C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42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42F7"/>
    <w:rPr>
      <w:rFonts w:ascii="Segoe UI" w:eastAsia="Times New Roman" w:hAnsi="Segoe UI" w:cs="Segoe UI"/>
      <w:color w:val="000000"/>
      <w:sz w:val="18"/>
      <w:szCs w:val="18"/>
    </w:rPr>
  </w:style>
  <w:style w:type="table" w:customStyle="1" w:styleId="1">
    <w:name w:val="Сетка таблицы1"/>
    <w:basedOn w:val="a1"/>
    <w:next w:val="a3"/>
    <w:uiPriority w:val="39"/>
    <w:rsid w:val="00E03E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7C2D-5AB3-49A1-B0E3-C94BC68A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Scanned Document</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user</dc:creator>
  <cp:lastModifiedBy>Адми</cp:lastModifiedBy>
  <cp:revision>2</cp:revision>
  <cp:lastPrinted>2024-01-22T08:15:00Z</cp:lastPrinted>
  <dcterms:created xsi:type="dcterms:W3CDTF">2024-01-31T07:40:00Z</dcterms:created>
  <dcterms:modified xsi:type="dcterms:W3CDTF">2024-01-31T07:40:00Z</dcterms:modified>
</cp:coreProperties>
</file>