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ПРОВЕДЕНИИ </w:t>
      </w:r>
      <w:r w:rsidR="00814213">
        <w:rPr>
          <w:rFonts w:ascii="Times New Roman" w:hAnsi="Times New Roman" w:cs="Times New Roman"/>
          <w:b/>
          <w:i/>
          <w:u w:val="single"/>
        </w:rPr>
        <w:t>11.08.2021</w:t>
      </w:r>
      <w:r w:rsidRPr="002A0F25">
        <w:rPr>
          <w:rFonts w:ascii="Times New Roman" w:hAnsi="Times New Roman" w:cs="Times New Roman"/>
          <w:b/>
        </w:rPr>
        <w:t xml:space="preserve"> </w:t>
      </w:r>
      <w:proofErr w:type="gramStart"/>
      <w:r w:rsidRPr="002A0F25">
        <w:rPr>
          <w:rFonts w:ascii="Times New Roman" w:hAnsi="Times New Roman" w:cs="Times New Roman"/>
          <w:b/>
        </w:rPr>
        <w:t xml:space="preserve">АУКЦИОНА </w:t>
      </w:r>
      <w:r w:rsidR="00CC43B1" w:rsidRPr="002A0F25">
        <w:rPr>
          <w:rFonts w:ascii="Times New Roman" w:hAnsi="Times New Roman" w:cs="Times New Roman"/>
          <w:b/>
        </w:rPr>
        <w:t xml:space="preserve"> ПО</w:t>
      </w:r>
      <w:proofErr w:type="gramEnd"/>
      <w:r w:rsidR="00CC43B1" w:rsidRPr="002A0F25">
        <w:rPr>
          <w:rFonts w:ascii="Times New Roman" w:hAnsi="Times New Roman" w:cs="Times New Roman"/>
          <w:b/>
        </w:rPr>
        <w:t xml:space="preserve"> 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A0F25">
              <w:rPr>
                <w:rFonts w:ascii="Times New Roman" w:eastAsiaTheme="minorEastAsia" w:hAnsi="Times New Roman" w:cs="Times New Roman"/>
                <w:color w:val="00000A"/>
                <w:lang w:eastAsia="ar-SA" w:bidi="en-US"/>
              </w:rPr>
              <w:t>Ленина,</w:t>
            </w:r>
            <w:r w:rsidR="0056503A" w:rsidRPr="002A0F25">
              <w:rPr>
                <w:rFonts w:ascii="Times New Roman" w:eastAsiaTheme="minorEastAsia" w:hAnsi="Times New Roman" w:cs="Times New Roman"/>
                <w:color w:val="00000A"/>
                <w:lang w:eastAsia="ar-SA" w:bidi="en-US"/>
              </w:rPr>
              <w:t xml:space="preserve">   </w:t>
            </w:r>
            <w:proofErr w:type="gramEnd"/>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4"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A0F25">
              <w:rPr>
                <w:rFonts w:ascii="Times New Roman" w:eastAsia="Times New Roman" w:hAnsi="Times New Roman" w:cs="Times New Roman"/>
                <w:b/>
                <w:lang w:eastAsia="ru-RU"/>
              </w:rPr>
              <w:t>Контактные  телефоны</w:t>
            </w:r>
            <w:proofErr w:type="gramEnd"/>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D65609">
              <w:rPr>
                <w:sz w:val="22"/>
                <w:szCs w:val="22"/>
              </w:rPr>
              <w:t xml:space="preserve"> – </w:t>
            </w:r>
            <w:proofErr w:type="spellStart"/>
            <w:r w:rsidR="00D65609">
              <w:rPr>
                <w:sz w:val="22"/>
                <w:szCs w:val="22"/>
              </w:rPr>
              <w:t>Галиуллина</w:t>
            </w:r>
            <w:proofErr w:type="spellEnd"/>
            <w:r w:rsidR="00D65609">
              <w:rPr>
                <w:sz w:val="22"/>
                <w:szCs w:val="22"/>
              </w:rPr>
              <w:t xml:space="preserve"> Лариса Петровна</w:t>
            </w:r>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Pr>
                <w:rFonts w:ascii="Times New Roman" w:hAnsi="Times New Roman" w:cs="Times New Roman"/>
                <w:sz w:val="22"/>
                <w:szCs w:val="22"/>
              </w:rPr>
              <w:t>повышение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A0F25" w:rsidRDefault="00964959" w:rsidP="002A0F25">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814213">
              <w:rPr>
                <w:rFonts w:ascii="Times New Roman" w:hAnsi="Times New Roman"/>
                <w:sz w:val="22"/>
                <w:szCs w:val="22"/>
              </w:rPr>
              <w:t>08» июля 2021</w:t>
            </w:r>
            <w:r w:rsidR="00EE003B" w:rsidRPr="002A0F25">
              <w:rPr>
                <w:rFonts w:ascii="Times New Roman" w:hAnsi="Times New Roman"/>
                <w:sz w:val="22"/>
                <w:szCs w:val="22"/>
              </w:rPr>
              <w:t xml:space="preserve"> г. № </w:t>
            </w:r>
            <w:r w:rsidR="00814213">
              <w:rPr>
                <w:rFonts w:ascii="Times New Roman" w:hAnsi="Times New Roman"/>
                <w:sz w:val="22"/>
                <w:szCs w:val="22"/>
              </w:rPr>
              <w:t>618</w:t>
            </w:r>
            <w:r w:rsidR="00EA3030" w:rsidRPr="002A0F25">
              <w:rPr>
                <w:rFonts w:ascii="Times New Roman" w:hAnsi="Times New Roman"/>
                <w:sz w:val="22"/>
                <w:szCs w:val="22"/>
              </w:rPr>
              <w:t>-р</w:t>
            </w:r>
            <w:r w:rsidR="00EA3030" w:rsidRPr="002A0F25">
              <w:rPr>
                <w:rFonts w:ascii="Times New Roman" w:hAnsi="Times New Roman" w:cs="Times New Roman"/>
                <w:sz w:val="22"/>
                <w:szCs w:val="22"/>
              </w:rPr>
              <w:t>.</w:t>
            </w:r>
            <w:r w:rsidR="00683676" w:rsidRPr="002A0F25">
              <w:rPr>
                <w:rFonts w:ascii="Times New Roman" w:hAnsi="Times New Roman" w:cs="Times New Roman"/>
                <w:sz w:val="22"/>
                <w:szCs w:val="22"/>
              </w:rPr>
              <w:t xml:space="preserve">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Нежилое здание – баня и находящийся под ним земельный участок, расположенные по адресу: Республика Татарстан, Актанышский район, с. Актаныш, ул. Г. </w:t>
            </w:r>
            <w:proofErr w:type="gramStart"/>
            <w:r w:rsidRPr="00D65609">
              <w:rPr>
                <w:rFonts w:ascii="Times New Roman" w:hAnsi="Times New Roman" w:cs="Times New Roman"/>
              </w:rPr>
              <w:t>Тукая,  д.</w:t>
            </w:r>
            <w:proofErr w:type="gramEnd"/>
            <w:r w:rsidRPr="00D65609">
              <w:rPr>
                <w:rFonts w:ascii="Times New Roman" w:hAnsi="Times New Roman" w:cs="Times New Roman"/>
              </w:rPr>
              <w:t xml:space="preserve"> 4а:</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 1-этажное здание общей площадью 413,7 </w:t>
            </w:r>
            <w:proofErr w:type="spellStart"/>
            <w:r w:rsidRPr="00D65609">
              <w:rPr>
                <w:rFonts w:ascii="Times New Roman" w:hAnsi="Times New Roman" w:cs="Times New Roman"/>
              </w:rPr>
              <w:t>кв.м</w:t>
            </w:r>
            <w:proofErr w:type="spellEnd"/>
            <w:r w:rsidRPr="00D65609">
              <w:rPr>
                <w:rFonts w:ascii="Times New Roman" w:hAnsi="Times New Roman" w:cs="Times New Roman"/>
              </w:rPr>
              <w:t>.</w:t>
            </w:r>
            <w:proofErr w:type="gramStart"/>
            <w:r w:rsidRPr="00D65609">
              <w:rPr>
                <w:rFonts w:ascii="Times New Roman" w:hAnsi="Times New Roman" w:cs="Times New Roman"/>
              </w:rPr>
              <w:t>,  кадастровый</w:t>
            </w:r>
            <w:proofErr w:type="gramEnd"/>
            <w:r w:rsidRPr="00D65609">
              <w:rPr>
                <w:rFonts w:ascii="Times New Roman" w:hAnsi="Times New Roman" w:cs="Times New Roman"/>
              </w:rPr>
              <w:t xml:space="preserve"> номер 16:04:000000:1055. Год постройки 1974 год. Имеющее следующие технические характеристики: фундаменты–бетонные; стены – кирпичные, обшитые </w:t>
            </w:r>
            <w:proofErr w:type="spellStart"/>
            <w:r w:rsidRPr="00D65609">
              <w:rPr>
                <w:rFonts w:ascii="Times New Roman" w:hAnsi="Times New Roman" w:cs="Times New Roman"/>
              </w:rPr>
              <w:t>керамогранитом</w:t>
            </w:r>
            <w:proofErr w:type="spellEnd"/>
            <w:r w:rsidRPr="00D65609">
              <w:rPr>
                <w:rFonts w:ascii="Times New Roman" w:hAnsi="Times New Roman" w:cs="Times New Roman"/>
              </w:rPr>
              <w:t xml:space="preserve">; перекрытия-железобетонные плиты; крыша и кровля – </w:t>
            </w:r>
            <w:proofErr w:type="spellStart"/>
            <w:r w:rsidRPr="00D65609">
              <w:rPr>
                <w:rFonts w:ascii="Times New Roman" w:hAnsi="Times New Roman" w:cs="Times New Roman"/>
              </w:rPr>
              <w:t>профнастил</w:t>
            </w:r>
            <w:proofErr w:type="spellEnd"/>
            <w:r w:rsidRPr="00D65609">
              <w:rPr>
                <w:rFonts w:ascii="Times New Roman" w:hAnsi="Times New Roman" w:cs="Times New Roman"/>
              </w:rPr>
              <w:t xml:space="preserve">; полы - плиточные; проемы – пластиковые, филенчатые. Отделочные работы- кафель, окраска; окна – пластиковые; внутренние </w:t>
            </w:r>
            <w:proofErr w:type="spellStart"/>
            <w:r w:rsidRPr="00D65609">
              <w:rPr>
                <w:rFonts w:ascii="Times New Roman" w:hAnsi="Times New Roman" w:cs="Times New Roman"/>
              </w:rPr>
              <w:t>санитарно</w:t>
            </w:r>
            <w:proofErr w:type="spellEnd"/>
            <w:r w:rsidRPr="00D65609">
              <w:rPr>
                <w:rFonts w:ascii="Times New Roman" w:hAnsi="Times New Roman" w:cs="Times New Roman"/>
              </w:rPr>
              <w:t>–технические и электротехнические устройства – электроосвещение, отопление, водопровод, канализация, вентиляция, телефон, горячее водоснабжение.</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Общее техническое состояние здания – удовлетворительное. Но частично нужен ремонт.</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земельный участок, кадастровый номер 16:04:010110:89, общей площадью 1344 кв. м. Разрешенное использование – под баню.</w:t>
            </w:r>
          </w:p>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Цена первоначального предложения –</w:t>
            </w:r>
            <w:r w:rsidR="00D65609">
              <w:rPr>
                <w:rFonts w:ascii="Times New Roman" w:hAnsi="Times New Roman" w:cs="Times New Roman"/>
                <w:b/>
              </w:rPr>
              <w:t xml:space="preserve"> </w:t>
            </w:r>
            <w:r w:rsidR="00814213" w:rsidRPr="00814213">
              <w:rPr>
                <w:rFonts w:ascii="Times New Roman" w:hAnsi="Times New Roman" w:cs="Times New Roman"/>
              </w:rPr>
              <w:t>6 239 000</w:t>
            </w:r>
            <w:r w:rsidRPr="002A0F25">
              <w:rPr>
                <w:rFonts w:ascii="Times New Roman" w:hAnsi="Times New Roman" w:cs="Times New Roman"/>
                <w:b/>
              </w:rPr>
              <w:t xml:space="preserve"> </w:t>
            </w:r>
            <w:r w:rsidR="00D65609">
              <w:rPr>
                <w:rFonts w:ascii="Times New Roman" w:hAnsi="Times New Roman" w:cs="Times New Roman"/>
              </w:rPr>
              <w:t>(</w:t>
            </w:r>
            <w:r w:rsidR="00814213">
              <w:rPr>
                <w:rFonts w:ascii="Times New Roman" w:hAnsi="Times New Roman" w:cs="Times New Roman"/>
              </w:rPr>
              <w:t>Шесть миллионов двести тридцать девять</w:t>
            </w:r>
            <w:r w:rsidR="00E319E4">
              <w:rPr>
                <w:rFonts w:ascii="Times New Roman" w:hAnsi="Times New Roman" w:cs="Times New Roman"/>
              </w:rPr>
              <w:t>) р</w:t>
            </w:r>
            <w:r w:rsidRPr="002A0F25">
              <w:rPr>
                <w:rFonts w:ascii="Times New Roman" w:hAnsi="Times New Roman" w:cs="Times New Roman"/>
              </w:rPr>
              <w:t>ублей 00 копеек с учетом НДС.</w:t>
            </w:r>
          </w:p>
          <w:p w:rsidR="001A410B" w:rsidRPr="002A0F25" w:rsidRDefault="00E319E4" w:rsidP="00EB7E5F">
            <w:pPr>
              <w:jc w:val="both"/>
              <w:rPr>
                <w:rFonts w:ascii="Times New Roman" w:hAnsi="Times New Roman" w:cs="Times New Roman"/>
              </w:rPr>
            </w:pPr>
            <w:r w:rsidRPr="00E319E4">
              <w:rPr>
                <w:rFonts w:ascii="Times New Roman" w:eastAsia="Calibri" w:hAnsi="Times New Roman" w:cs="Times New Roman"/>
                <w:b/>
                <w:sz w:val="24"/>
                <w:szCs w:val="24"/>
              </w:rPr>
              <w:t>Размер задатка</w:t>
            </w:r>
            <w:r w:rsidRPr="00E319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14213">
              <w:rPr>
                <w:rFonts w:ascii="Times New Roman" w:eastAsia="Calibri" w:hAnsi="Times New Roman" w:cs="Times New Roman"/>
                <w:sz w:val="24"/>
                <w:szCs w:val="24"/>
              </w:rPr>
              <w:t>1 247 800</w:t>
            </w:r>
            <w:r>
              <w:rPr>
                <w:rFonts w:ascii="Times New Roman" w:eastAsia="Calibri" w:hAnsi="Times New Roman" w:cs="Times New Roman"/>
                <w:sz w:val="24"/>
                <w:szCs w:val="24"/>
              </w:rPr>
              <w:t xml:space="preserve"> (Один мил</w:t>
            </w:r>
            <w:r w:rsidR="00814213">
              <w:rPr>
                <w:rFonts w:ascii="Times New Roman" w:eastAsia="Calibri" w:hAnsi="Times New Roman" w:cs="Times New Roman"/>
                <w:sz w:val="24"/>
                <w:szCs w:val="24"/>
              </w:rPr>
              <w:t>лион двести сорок семь тысяч восемьсот</w:t>
            </w:r>
            <w:r>
              <w:rPr>
                <w:rFonts w:ascii="Times New Roman" w:eastAsia="Calibri" w:hAnsi="Times New Roman" w:cs="Times New Roman"/>
                <w:sz w:val="24"/>
                <w:szCs w:val="24"/>
              </w:rPr>
              <w:t>) рублей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AF7C25" w:rsidRPr="002A0F25" w:rsidRDefault="00D17546" w:rsidP="00773FA6">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p>
          <w:p w:rsidR="00814213" w:rsidRDefault="00765A64" w:rsidP="00814213">
            <w:pPr>
              <w:jc w:val="both"/>
              <w:rPr>
                <w:rFonts w:ascii="Times New Roman" w:hAnsi="Times New Roman" w:cs="Times New Roman"/>
              </w:rPr>
            </w:pPr>
            <w:r w:rsidRPr="00765A64">
              <w:rPr>
                <w:rFonts w:ascii="Times New Roman" w:hAnsi="Times New Roman" w:cs="Times New Roman"/>
                <w:sz w:val="24"/>
                <w:szCs w:val="24"/>
              </w:rPr>
              <w:t xml:space="preserve"> </w:t>
            </w:r>
            <w:r w:rsidRPr="00765A64">
              <w:rPr>
                <w:rFonts w:ascii="Times New Roman" w:hAnsi="Times New Roman" w:cs="Times New Roman"/>
              </w:rPr>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r>
              <w:rPr>
                <w:rFonts w:ascii="Times New Roman" w:hAnsi="Times New Roman" w:cs="Times New Roman"/>
              </w:rPr>
              <w:t xml:space="preserve"> 13.08</w:t>
            </w:r>
            <w:r w:rsidRPr="00765A64">
              <w:rPr>
                <w:rFonts w:ascii="Times New Roman" w:hAnsi="Times New Roman" w:cs="Times New Roman"/>
              </w:rPr>
              <w:t xml:space="preserve">.2021г. </w:t>
            </w:r>
            <w:r w:rsidR="00814213" w:rsidRPr="00814213">
              <w:rPr>
                <w:rFonts w:ascii="Times New Roman" w:hAnsi="Times New Roman" w:cs="Times New Roman"/>
              </w:rPr>
              <w:t>признан несостоявшимся ввиду отсутствия заявок.</w:t>
            </w:r>
          </w:p>
          <w:p w:rsidR="00814213" w:rsidRPr="00814213" w:rsidRDefault="00765A64" w:rsidP="00814213">
            <w:pPr>
              <w:jc w:val="both"/>
              <w:rPr>
                <w:rFonts w:ascii="Times New Roman" w:hAnsi="Times New Roman" w:cs="Times New Roman"/>
                <w:lang w:val="tt-RU"/>
              </w:rPr>
            </w:pPr>
            <w:r w:rsidRPr="00765A64">
              <w:rPr>
                <w:rFonts w:ascii="Times New Roman" w:eastAsia="Times New Roman" w:hAnsi="Times New Roman" w:cs="Times New Roman"/>
                <w:bCs/>
                <w:sz w:val="24"/>
                <w:szCs w:val="24"/>
                <w:lang w:eastAsia="ru-RU"/>
              </w:rPr>
              <w:t>Открытый (по составу участников и по форме подачи предлож</w:t>
            </w:r>
            <w:r>
              <w:rPr>
                <w:rFonts w:ascii="Times New Roman" w:eastAsia="Times New Roman" w:hAnsi="Times New Roman" w:cs="Times New Roman"/>
                <w:bCs/>
                <w:sz w:val="24"/>
                <w:szCs w:val="24"/>
                <w:lang w:eastAsia="ru-RU"/>
              </w:rPr>
              <w:t xml:space="preserve">ений о цене) аукцион на </w:t>
            </w:r>
            <w:r w:rsidR="00BB52BE">
              <w:rPr>
                <w:rFonts w:ascii="Times New Roman" w:eastAsia="Times New Roman" w:hAnsi="Times New Roman" w:cs="Times New Roman"/>
                <w:bCs/>
                <w:sz w:val="24"/>
                <w:szCs w:val="24"/>
                <w:lang w:eastAsia="ru-RU"/>
              </w:rPr>
              <w:t>понижение</w:t>
            </w:r>
            <w:bookmarkStart w:id="0" w:name="_GoBack"/>
            <w:bookmarkEnd w:id="0"/>
            <w:r w:rsidRPr="00765A64">
              <w:rPr>
                <w:rFonts w:ascii="Times New Roman" w:eastAsia="Times New Roman" w:hAnsi="Times New Roman" w:cs="Times New Roman"/>
                <w:bCs/>
                <w:sz w:val="24"/>
                <w:szCs w:val="24"/>
                <w:lang w:eastAsia="ru-RU"/>
              </w:rPr>
              <w:t xml:space="preserve"> цены по продаже в собственность движимого муниципального имущества, проводимый в электронной форме </w:t>
            </w:r>
            <w:r w:rsidR="00814213">
              <w:rPr>
                <w:rFonts w:ascii="Times New Roman" w:eastAsia="Times New Roman" w:hAnsi="Times New Roman" w:cs="Times New Roman"/>
                <w:bCs/>
                <w:sz w:val="24"/>
                <w:szCs w:val="24"/>
                <w:lang w:eastAsia="ru-RU"/>
              </w:rPr>
              <w:t xml:space="preserve"> 09.10</w:t>
            </w:r>
            <w:r w:rsidR="00814213" w:rsidRPr="00814213">
              <w:rPr>
                <w:rFonts w:ascii="Times New Roman" w:eastAsia="Times New Roman" w:hAnsi="Times New Roman" w:cs="Times New Roman"/>
                <w:bCs/>
                <w:sz w:val="24"/>
                <w:szCs w:val="24"/>
                <w:lang w:eastAsia="ru-RU"/>
              </w:rPr>
              <w:t>.2020</w:t>
            </w:r>
            <w:r w:rsidR="00814213">
              <w:rPr>
                <w:rFonts w:ascii="Times New Roman" w:eastAsia="Times New Roman" w:hAnsi="Times New Roman" w:cs="Times New Roman"/>
                <w:bCs/>
                <w:sz w:val="24"/>
                <w:szCs w:val="24"/>
                <w:lang w:eastAsia="ru-RU"/>
              </w:rPr>
              <w:t xml:space="preserve"> г</w:t>
            </w:r>
            <w:r w:rsidR="00814213" w:rsidRPr="00814213">
              <w:rPr>
                <w:rFonts w:ascii="Times New Roman" w:eastAsia="Times New Roman" w:hAnsi="Times New Roman" w:cs="Times New Roman"/>
                <w:bCs/>
                <w:sz w:val="24"/>
                <w:szCs w:val="24"/>
                <w:lang w:eastAsia="ru-RU"/>
              </w:rPr>
              <w:t xml:space="preserve">, признан несостоявшимся </w:t>
            </w:r>
            <w:r w:rsidR="00814213">
              <w:rPr>
                <w:rFonts w:ascii="Times New Roman" w:hAnsi="Times New Roman" w:cs="Times New Roman"/>
                <w:lang w:val="tt-RU"/>
              </w:rPr>
              <w:t xml:space="preserve"> </w:t>
            </w:r>
            <w:r w:rsidR="00814213" w:rsidRPr="00814213">
              <w:rPr>
                <w:rFonts w:ascii="Times New Roman" w:hAnsi="Times New Roman" w:cs="Times New Roman"/>
                <w:lang w:val="tt-RU"/>
              </w:rPr>
              <w:t>ввиду участия одного участника.</w:t>
            </w:r>
          </w:p>
          <w:p w:rsidR="00C16105" w:rsidRPr="00814213" w:rsidRDefault="00C16105" w:rsidP="00677B00">
            <w:pPr>
              <w:jc w:val="both"/>
              <w:rPr>
                <w:rFonts w:ascii="Times New Roman" w:hAnsi="Times New Roman" w:cs="Times New Roman"/>
                <w:lang w:val="tt-RU"/>
              </w:rPr>
            </w:pP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A0F25">
              <w:rPr>
                <w:rFonts w:ascii="Times New Roman" w:eastAsia="Times New Roman" w:hAnsi="Times New Roman" w:cs="Times New Roman"/>
                <w:lang w:eastAsia="ru-RU"/>
              </w:rPr>
              <w:t>АО«</w:t>
            </w:r>
            <w:proofErr w:type="gramEnd"/>
            <w:r w:rsidRPr="002A0F25">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A0F25">
              <w:rPr>
                <w:rFonts w:ascii="Times New Roman" w:eastAsia="Times New Roman" w:hAnsi="Times New Roman" w:cs="Times New Roman"/>
                <w:lang w:eastAsia="ru-RU"/>
              </w:rPr>
              <w:t>_._</w:t>
            </w:r>
            <w:proofErr w:type="gramEnd"/>
            <w:r w:rsidRPr="002A0F25">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5"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на сайте Актанышского</w:t>
            </w:r>
            <w:r w:rsidRPr="002A0F25">
              <w:rPr>
                <w:sz w:val="22"/>
                <w:szCs w:val="22"/>
              </w:rPr>
              <w:t xml:space="preserve"> муниципального района Республика Татарстан</w:t>
            </w:r>
            <w:r w:rsidR="00DE39BE" w:rsidRPr="002A0F25">
              <w:rPr>
                <w:sz w:val="22"/>
                <w:szCs w:val="22"/>
              </w:rPr>
              <w:t xml:space="preserve"> </w:t>
            </w:r>
            <w:hyperlink r:id="rId6"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814213">
              <w:rPr>
                <w:sz w:val="22"/>
                <w:szCs w:val="22"/>
              </w:rPr>
              <w:t>06</w:t>
            </w:r>
            <w:r w:rsidR="00EE003B" w:rsidRPr="002A0F25">
              <w:rPr>
                <w:sz w:val="22"/>
                <w:szCs w:val="22"/>
              </w:rPr>
              <w:t>.</w:t>
            </w:r>
            <w:r w:rsidR="00814213">
              <w:rPr>
                <w:sz w:val="22"/>
                <w:szCs w:val="22"/>
              </w:rPr>
              <w:t>08.2021</w:t>
            </w:r>
            <w:r w:rsidR="00A8312B">
              <w:rPr>
                <w:sz w:val="22"/>
                <w:szCs w:val="22"/>
              </w:rPr>
              <w:t xml:space="preserve"> в 14</w:t>
            </w:r>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w:t>
            </w:r>
            <w:proofErr w:type="gramStart"/>
            <w:r w:rsidR="00C35371">
              <w:rPr>
                <w:sz w:val="22"/>
                <w:szCs w:val="22"/>
              </w:rPr>
              <w:t>на  э</w:t>
            </w:r>
            <w:r w:rsidRPr="002A0F25">
              <w:rPr>
                <w:sz w:val="22"/>
                <w:szCs w:val="22"/>
              </w:rPr>
              <w:t>лектронной</w:t>
            </w:r>
            <w:proofErr w:type="gramEnd"/>
            <w:r w:rsidRPr="002A0F25">
              <w:rPr>
                <w:sz w:val="22"/>
                <w:szCs w:val="22"/>
              </w:rPr>
              <w:t xml:space="preserve">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w:t>
            </w:r>
            <w:r w:rsidRPr="002A0F25">
              <w:rPr>
                <w:sz w:val="22"/>
                <w:szCs w:val="22"/>
              </w:rPr>
              <w:lastRenderedPageBreak/>
              <w:t xml:space="preserve">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Получение разъяснений размещенной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proofErr w:type="gramStart"/>
            <w:r w:rsidRPr="002A0F25">
              <w:rPr>
                <w:rFonts w:ascii="Times New Roman" w:eastAsia="Times New Roman" w:hAnsi="Times New Roman" w:cs="Times New Roman"/>
                <w:lang w:eastAsia="ru-RU"/>
              </w:rPr>
              <w:t>информации,  но</w:t>
            </w:r>
            <w:proofErr w:type="gramEnd"/>
            <w:r w:rsidRPr="002A0F25">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814213">
              <w:rPr>
                <w:b/>
                <w:i/>
                <w:sz w:val="22"/>
                <w:szCs w:val="22"/>
                <w:u w:val="single"/>
              </w:rPr>
              <w:t>09.08.2021</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814213">
              <w:rPr>
                <w:b/>
                <w:i/>
                <w:sz w:val="22"/>
                <w:szCs w:val="22"/>
                <w:u w:val="single"/>
              </w:rPr>
              <w:t>11.08.2021</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w:t>
            </w:r>
            <w:proofErr w:type="gramStart"/>
            <w:r w:rsidRPr="002A0F25">
              <w:rPr>
                <w:rFonts w:ascii="Times New Roman" w:eastAsia="Times New Roman" w:hAnsi="Times New Roman" w:cs="Times New Roman"/>
                <w:b/>
                <w:lang w:eastAsia="ru-RU"/>
              </w:rPr>
              <w:t xml:space="preserve">победителя: </w:t>
            </w:r>
            <w:r w:rsidRPr="002A0F25">
              <w:t xml:space="preserve"> </w:t>
            </w:r>
            <w:r w:rsidRPr="002A0F25">
              <w:rPr>
                <w:rFonts w:ascii="Times New Roman" w:eastAsia="Times New Roman" w:hAnsi="Times New Roman" w:cs="Times New Roman"/>
                <w:lang w:eastAsia="ru-RU"/>
              </w:rPr>
              <w:t>Победителем</w:t>
            </w:r>
            <w:proofErr w:type="gramEnd"/>
            <w:r w:rsidRPr="002A0F25">
              <w:rPr>
                <w:rFonts w:ascii="Times New Roman" w:eastAsia="Times New Roman" w:hAnsi="Times New Roman" w:cs="Times New Roman"/>
                <w:lang w:eastAsia="ru-RU"/>
              </w:rPr>
              <w:t xml:space="preserve">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proofErr w:type="gramStart"/>
            <w:r w:rsidRPr="002A0F25">
              <w:rPr>
                <w:rFonts w:ascii="Times New Roman" w:eastAsia="Times New Roman" w:hAnsi="Times New Roman" w:cs="Times New Roman"/>
                <w:lang w:eastAsia="ru-RU"/>
              </w:rPr>
              <w:t>предложения  победителю</w:t>
            </w:r>
            <w:proofErr w:type="gramEnd"/>
            <w:r w:rsidRPr="002A0F25">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71A07"/>
    <w:rsid w:val="0016197C"/>
    <w:rsid w:val="001A09AF"/>
    <w:rsid w:val="001A410B"/>
    <w:rsid w:val="00210306"/>
    <w:rsid w:val="00240185"/>
    <w:rsid w:val="002A0F25"/>
    <w:rsid w:val="002E7C10"/>
    <w:rsid w:val="00347D68"/>
    <w:rsid w:val="003B3C8C"/>
    <w:rsid w:val="003B50D2"/>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7A3C"/>
    <w:rsid w:val="006F556A"/>
    <w:rsid w:val="0071488A"/>
    <w:rsid w:val="00757C21"/>
    <w:rsid w:val="00765A64"/>
    <w:rsid w:val="00773FA6"/>
    <w:rsid w:val="007F0CB6"/>
    <w:rsid w:val="00814213"/>
    <w:rsid w:val="0091621F"/>
    <w:rsid w:val="00931A3B"/>
    <w:rsid w:val="00964959"/>
    <w:rsid w:val="009821A2"/>
    <w:rsid w:val="00A65319"/>
    <w:rsid w:val="00A8312B"/>
    <w:rsid w:val="00AF7C25"/>
    <w:rsid w:val="00B003CF"/>
    <w:rsid w:val="00B67688"/>
    <w:rsid w:val="00BA39D3"/>
    <w:rsid w:val="00BB52BE"/>
    <w:rsid w:val="00BB557D"/>
    <w:rsid w:val="00C16105"/>
    <w:rsid w:val="00C163AD"/>
    <w:rsid w:val="00C35371"/>
    <w:rsid w:val="00C675BD"/>
    <w:rsid w:val="00CC43B1"/>
    <w:rsid w:val="00D17546"/>
    <w:rsid w:val="00D65609"/>
    <w:rsid w:val="00DE39BE"/>
    <w:rsid w:val="00E13DE1"/>
    <w:rsid w:val="00E319E4"/>
    <w:rsid w:val="00EA3030"/>
    <w:rsid w:val="00EA5D03"/>
    <w:rsid w:val="00EB7E5F"/>
    <w:rsid w:val="00ED138F"/>
    <w:rsid w:val="00EE003B"/>
    <w:rsid w:val="00F0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A097"/>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1496</TotalTime>
  <Pages>4</Pages>
  <Words>2307</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user</cp:lastModifiedBy>
  <cp:revision>31</cp:revision>
  <cp:lastPrinted>2019-04-29T08:41:00Z</cp:lastPrinted>
  <dcterms:created xsi:type="dcterms:W3CDTF">2019-05-06T06:07:00Z</dcterms:created>
  <dcterms:modified xsi:type="dcterms:W3CDTF">2021-07-09T12:20:00Z</dcterms:modified>
</cp:coreProperties>
</file>