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81" w:type="dxa"/>
        <w:tblInd w:w="140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>
        <w:trPr>
          <w:trHeight w:val="1842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ИСПОЛНИТЕЛЬН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ЫЙ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КОМИТЕТ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</w:r>
          </w:p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АКТАНЫШСКОГО МУНИЦИПАЛЬНОГО РАЙОНА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</w:r>
          </w:p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РЕСПУБЛИКИ ТАТАРСТАН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пр. Ленина, </w:t>
            </w:r>
            <w:r>
              <w:rPr>
                <w:rFonts w:ascii="Arial" w:hAnsi="Arial" w:cs="Arial"/>
              </w:rPr>
              <w:t xml:space="preserve">дом 17, с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Актаныш, 423740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  <w:b/>
                <w:bCs/>
                <w:sz w:val="10"/>
              </w:rPr>
            </w:pPr>
            <w:r>
              <w:rPr>
                <w:rFonts w:ascii="Arial" w:hAnsi="Arial" w:cs="Arial"/>
                <w:b/>
                <w:bCs/>
                <w:sz w:val="10"/>
              </w:rPr>
            </w:r>
            <w:r>
              <w:rPr>
                <w:rFonts w:ascii="Arial" w:hAnsi="Arial" w:cs="Arial"/>
                <w:b/>
                <w:bCs/>
                <w:sz w:val="10"/>
              </w:rPr>
            </w:r>
            <w:r>
              <w:rPr>
                <w:rFonts w:ascii="Arial" w:hAnsi="Arial" w:cs="Arial"/>
                <w:b/>
                <w:bCs/>
                <w:sz w:val="10"/>
              </w:rPr>
            </w:r>
          </w:p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  <w:b/>
                <w:bCs/>
                <w:sz w:val="10"/>
              </w:rPr>
            </w:pPr>
            <w:r>
              <w:rPr>
                <w:rFonts w:ascii="Arial" w:hAnsi="Arial" w:cs="Arial"/>
                <w:b/>
                <w:bCs/>
                <w:sz w:val="10"/>
              </w:rPr>
            </w:r>
            <w:r>
              <w:rPr>
                <w:rFonts w:ascii="Arial" w:hAnsi="Arial" w:cs="Arial"/>
                <w:b/>
                <w:bCs/>
                <w:sz w:val="10"/>
              </w:rPr>
            </w:r>
            <w:r>
              <w:rPr>
                <w:rFonts w:ascii="Arial" w:hAnsi="Arial" w:cs="Arial"/>
                <w:b/>
                <w:bCs/>
                <w:sz w:val="10"/>
              </w:rPr>
            </w:r>
          </w:p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object w:dxaOrig="1191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s0" type="#_x0000_t75" style="width:63.00pt;height:72.69pt;mso-wrap-distance-left:0.00pt;mso-wrap-distance-top:0.00pt;mso-wrap-distance-right:0.00pt;mso-wrap-distance-bottom:0.00pt;z-index:1;" filled="f" stroked="f">
                  <v:imagedata r:id="rId9" o:title=""/>
                  <o:lock v:ext="edit" rotation="t"/>
                </v:shape>
                <o:OLEObject DrawAspect="Content" r:id="rId10" ObjectID="_1525040" ProgID="" ShapeID="_x0000_i0" Type="Embed"/>
              </w:objec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ТАТАРСТАН РЕСПУБЛИКАСЫ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</w:r>
          </w:p>
          <w:p>
            <w:pPr>
              <w:pStyle w:val="836"/>
              <w:pBdr/>
              <w:spacing/>
              <w: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АКТАНЫШ МУНИЦИПАЛЬ РАЙОНЫ БАШКАРМА КОМИТЕТЫ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  <w:p>
            <w:pPr>
              <w:pStyle w:val="836"/>
              <w:pBdr/>
              <w:spacing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36"/>
              <w:pBdr/>
              <w:spacing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Ленин пр.</w:t>
            </w:r>
            <w:r>
              <w:rPr>
                <w:rFonts w:ascii="Arial" w:hAnsi="Arial" w:cs="Arial"/>
              </w:rPr>
              <w:t xml:space="preserve">,17  йорт, </w:t>
            </w:r>
            <w:r>
              <w:rPr>
                <w:rFonts w:ascii="Arial" w:hAnsi="Arial" w:cs="Arial"/>
              </w:rPr>
              <w:t xml:space="preserve">Актаныш ав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, 423740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836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394970</wp:posOffset>
                </wp:positionV>
                <wp:extent cx="6202045" cy="571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202045" cy="57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headEnd w="sm" len="lg"/>
                          <a:tailEnd w="sm" len="lg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2.5pt,31.1pt" to="490.8pt,31.5pt" filled="f" strokecolor="#000000" strokeweight="1.50pt"/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pPr w:horzAnchor="margin" w:tblpX="108" w:vertAnchor="text" w:tblpY="31" w:leftFromText="180" w:topFromText="0" w:rightFromText="180" w:bottomFromText="0"/>
        <w:tblW w:w="9822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22"/>
      </w:tblGrid>
      <w:tr>
        <w:trPr>
          <w:trHeight w:val="304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822" w:type="dxa"/>
            <w:vAlign w:val="top"/>
            <w:textDirection w:val="lrTb"/>
            <w:noWrap w:val="false"/>
          </w:tcPr>
          <w:p>
            <w:pPr>
              <w:pStyle w:val="836"/>
              <w:framePr w:hAnchor="margin" w:hSpace="180" w:vAnchor="text" w:wrap="around" w:x="108" w:y="31"/>
              <w:pBdr/>
              <w:spacing/>
              <w:ind w:right="-249"/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</w:rPr>
              <w:t xml:space="preserve">Тел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. (85552) 3-</w:t>
            </w:r>
            <w:r>
              <w:rPr>
                <w:rFonts w:ascii="Arial" w:hAnsi="Arial" w:cs="Arial"/>
                <w:color w:val="000000"/>
              </w:rPr>
              <w:t xml:space="preserve">44-22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 xml:space="preserve">факс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(85552)  3-</w:t>
            </w:r>
            <w:r>
              <w:rPr>
                <w:rFonts w:ascii="Arial" w:hAnsi="Arial" w:cs="Arial"/>
                <w:color w:val="000000"/>
              </w:rPr>
              <w:t xml:space="preserve">44-14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E-mail: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mail.Aktanish@tatar.ru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fldChar w:fldCharType="begin"/>
            </w:r>
            <w:r>
              <w:rPr>
                <w:rFonts w:ascii="Arial" w:hAnsi="Arial" w:cs="Arial"/>
                <w:color w:val="000000"/>
                <w:lang w:val="en-US"/>
              </w:rPr>
              <w:instrText xml:space="preserve"> HYPERLINK "http://www.aktanysh.tatarstan.ru" </w:instrText>
            </w:r>
            <w:r>
              <w:rPr>
                <w:rFonts w:ascii="Arial" w:hAnsi="Arial" w:cs="Arial"/>
                <w:color w:val="00000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563c1"/>
                <w:u w:val="single"/>
                <w:lang w:val="en-US"/>
              </w:rPr>
              <w:t xml:space="preserve">www.aktanysh.tatarstan.ru</w:t>
            </w:r>
            <w:r>
              <w:rPr>
                <w:rFonts w:ascii="Arial" w:hAnsi="Arial" w:cs="Arial"/>
                <w:color w:val="000000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/>
                <w:lang w:val="tt-RU"/>
              </w:rPr>
            </w:r>
            <w:r>
              <w:rPr>
                <w:rFonts w:ascii="Arial" w:hAnsi="Arial" w:cs="Arial"/>
                <w:color w:val="000000"/>
                <w:lang w:val="tt-RU"/>
              </w:rPr>
            </w:r>
          </w:p>
        </w:tc>
      </w:tr>
    </w:tbl>
    <w:p>
      <w:pPr>
        <w:pStyle w:val="836"/>
        <w:pBdr/>
        <w:spacing/>
        <w:ind w:left="-284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</w:r>
      <w:r>
        <w:rPr>
          <w:rFonts w:ascii="Arial" w:hAnsi="Arial" w:cs="Arial"/>
          <w:sz w:val="24"/>
          <w:szCs w:val="24"/>
          <w:lang w:val="tt-RU"/>
        </w:rPr>
      </w:r>
      <w:r>
        <w:rPr>
          <w:rFonts w:ascii="Arial" w:hAnsi="Arial" w:cs="Arial"/>
          <w:sz w:val="24"/>
          <w:szCs w:val="24"/>
          <w:lang w:val="tt-RU"/>
        </w:rPr>
      </w:r>
    </w:p>
    <w:tbl>
      <w:tblPr>
        <w:tblpPr w:horzAnchor="margin" w:tblpXSpec="center" w:vertAnchor="text" w:tblpY="-14" w:leftFromText="180" w:topFromText="0" w:rightFromText="180" w:bottomFromText="0"/>
        <w:tblW w:w="9639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rPr>
          <w:trHeight w:val="92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6"/>
              <w:framePr w:hAnchor="margin" w:hSpace="180" w:vAnchor="text" w:wrap="around" w:xAlign="center" w:y="-14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РАСПОРЯЖЕНИЕ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К    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836"/>
              <w:framePr w:hAnchor="margin" w:hSpace="180" w:vAnchor="text" w:wrap="around" w:xAlign="center" w:y="-14"/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 _____________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№</w:t>
            </w:r>
            <w:r>
              <w:rPr>
                <w:rFonts w:ascii="Arial" w:hAnsi="Arial" w:cs="Arial"/>
                <w:sz w:val="24"/>
                <w:szCs w:val="24"/>
              </w:rPr>
              <w:t xml:space="preserve">  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__</w:t>
            </w:r>
            <w:r>
              <w:rPr>
                <w:rFonts w:ascii="Arial" w:hAnsi="Arial" w:cs="Arial"/>
                <w:sz w:val="24"/>
                <w:szCs w:val="24"/>
              </w:rPr>
              <w:t xml:space="preserve">_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836"/>
        <w:pBdr/>
        <w:spacing/>
        <w:ind/>
        <w:jc w:val="center"/>
        <w:rPr/>
      </w:pPr>
      <w:r>
        <w:rPr>
          <w:sz w:val="28"/>
          <w:szCs w:val="28"/>
          <w:lang w:val="tt-RU"/>
        </w:rPr>
        <w:t xml:space="preserve">О проведении инвентаризации жилищного фонда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center"/>
        <w:rPr>
          <w:sz w:val="28"/>
          <w:szCs w:val="28"/>
          <w:highlight w:val="none"/>
          <w:lang w:val="tt-RU"/>
        </w:rPr>
      </w:pPr>
      <w:r>
        <w:rPr>
          <w:sz w:val="28"/>
          <w:szCs w:val="28"/>
          <w:lang w:val="tt-RU"/>
        </w:rPr>
        <w:t xml:space="preserve">Актанышского муниципального района Республики Татарстан</w:t>
      </w:r>
      <w:r>
        <w:rPr>
          <w:sz w:val="28"/>
          <w:szCs w:val="28"/>
          <w:lang w:val="tt-RU"/>
        </w:rPr>
      </w:r>
      <w:r>
        <w:rPr>
          <w:sz w:val="28"/>
          <w:szCs w:val="28"/>
          <w:highlight w:val="none"/>
          <w:lang w:val="tt-RU"/>
        </w:rPr>
      </w:r>
    </w:p>
    <w:p>
      <w:pPr>
        <w:pBdr/>
        <w:spacing/>
        <w:ind/>
        <w:jc w:val="center"/>
        <w:rPr>
          <w:sz w:val="28"/>
          <w:szCs w:val="28"/>
          <w:lang w:val="tt-RU"/>
        </w:rPr>
      </w:pP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В</w:t>
      </w:r>
      <w:r>
        <w:rPr>
          <w:sz w:val="28"/>
          <w:szCs w:val="28"/>
          <w:lang w:val="tt-RU"/>
        </w:rPr>
        <w:t xml:space="preserve">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актуализации сведений о жилищном фонде Актанышского муниципального р</w:t>
      </w:r>
      <w:r>
        <w:rPr>
          <w:sz w:val="28"/>
          <w:szCs w:val="28"/>
          <w:lang w:val="tt-RU"/>
        </w:rPr>
        <w:t xml:space="preserve">айона, повышения эффективности управления жилищным фондом и обеспечения его сохранности: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/>
    </w:p>
    <w:p>
      <w:pPr>
        <w:pStyle w:val="836"/>
        <w:pBdr/>
        <w:tabs>
          <w:tab w:val="left" w:leader="none" w:pos="992"/>
        </w:tabs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1.Провести инвентаризацию жилищного фонда Актанышского муниципального района Республики Татарстан в период с 01 декабря 2025 года по 01 марта 2026 года.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tabs>
          <w:tab w:val="left" w:leader="none" w:pos="992"/>
        </w:tabs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2. Создать комиссию по проведению инвентаризации жилищного фонда Актанышского муниципального района в следующем составе: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Председатель комиссии – руководителя Исполнительного комитета Актанышского муниципального района;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Заместитель председателя – председатель МКУ “ПИЗО Актанышского муниципального района РТ” </w:t>
      </w:r>
      <w:r>
        <w:rPr>
          <w:sz w:val="28"/>
          <w:szCs w:val="28"/>
          <w:lang w:val="tt-RU"/>
        </w:rPr>
        <w:t xml:space="preserve">(по согласованию)</w:t>
      </w:r>
      <w:r>
        <w:rPr>
          <w:sz w:val="28"/>
          <w:szCs w:val="28"/>
          <w:lang w:val="tt-RU"/>
        </w:rPr>
        <w:t xml:space="preserve">;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Члены комиссии: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  <w:t xml:space="preserve">Секретарь комисии- Заместитель начальника отдела инфраструктурого развития</w:t>
      </w:r>
      <w:r>
        <w:rPr>
          <w:sz w:val="28"/>
          <w:szCs w:val="28"/>
          <w:lang w:val="tt-RU"/>
        </w:rPr>
        <w:t xml:space="preserve"> Испольнительного комитета Актанышского муниципального района;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Главный специалист МКУ “ПИЗО Актанышского муниципального района РТ” по имуществу </w:t>
      </w:r>
      <w:r>
        <w:rPr>
          <w:sz w:val="28"/>
          <w:szCs w:val="28"/>
          <w:lang w:val="tt-RU"/>
        </w:rPr>
        <w:t xml:space="preserve">(по согласованию)</w:t>
      </w:r>
      <w:r>
        <w:rPr>
          <w:sz w:val="28"/>
          <w:szCs w:val="28"/>
          <w:lang w:val="tt-RU"/>
        </w:rPr>
        <w:t xml:space="preserve">;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>
          <w:sz w:val="28"/>
          <w:szCs w:val="28"/>
          <w:highlight w:val="none"/>
          <w:lang w:val="tt-RU"/>
        </w:rPr>
      </w:pPr>
      <w:r>
        <w:rPr>
          <w:sz w:val="28"/>
          <w:szCs w:val="28"/>
          <w:lang w:val="tt-RU"/>
        </w:rPr>
        <w:t xml:space="preserve">главы сельских поселений (по территориальной принадлежности).</w:t>
      </w:r>
      <w:r>
        <w:rPr>
          <w:sz w:val="28"/>
          <w:szCs w:val="28"/>
          <w:lang w:val="tt-RU"/>
        </w:rPr>
      </w:r>
      <w:r>
        <w:rPr>
          <w:sz w:val="28"/>
          <w:szCs w:val="28"/>
          <w:highlight w:val="none"/>
          <w:lang w:val="tt-RU"/>
        </w:rPr>
      </w:r>
    </w:p>
    <w:p>
      <w:pPr>
        <w:pBdr/>
        <w:spacing/>
        <w:ind/>
        <w:jc w:val="both"/>
        <w:rPr>
          <w:sz w:val="28"/>
          <w:szCs w:val="28"/>
          <w:highlight w:val="none"/>
          <w:lang w:val="tt-RU"/>
        </w:rPr>
      </w:pPr>
      <w:r>
        <w:rPr>
          <w:sz w:val="28"/>
          <w:szCs w:val="28"/>
          <w:highlight w:val="none"/>
          <w:lang w:val="tt-RU"/>
        </w:rPr>
        <w:t xml:space="preserve">Представить ТСЖ “Яран” (по согласованию);</w:t>
      </w: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highlight w:val="none"/>
          <w:lang w:val="tt-RU"/>
        </w:rPr>
      </w:r>
    </w:p>
    <w:p>
      <w:pPr>
        <w:pBdr/>
        <w:spacing/>
        <w:ind/>
        <w:jc w:val="both"/>
        <w:rPr>
          <w:sz w:val="28"/>
          <w:szCs w:val="28"/>
          <w:lang w:val="tt-RU"/>
        </w:rPr>
      </w:pPr>
      <w:r>
        <w:rPr>
          <w:sz w:val="28"/>
          <w:szCs w:val="28"/>
          <w:highlight w:val="none"/>
          <w:lang w:val="tt-RU"/>
        </w:rPr>
        <w:t xml:space="preserve">Представитель </w:t>
      </w:r>
      <w:r>
        <w:rPr>
          <w:sz w:val="28"/>
          <w:szCs w:val="28"/>
          <w:highlight w:val="none"/>
          <w:lang w:val="tt-RU"/>
        </w:rPr>
        <w:t xml:space="preserve">Актанышского отдела Управления Федеральной службы государственной регистрации кадастра и картографии по РТ</w:t>
      </w:r>
      <w:r>
        <w:rPr>
          <w:sz w:val="28"/>
          <w:szCs w:val="28"/>
          <w:highlight w:val="none"/>
          <w:lang w:val="tt-RU"/>
        </w:rPr>
        <w:t xml:space="preserve"> (по согласованию).</w:t>
      </w: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3. Комиссии по проведению инвентаризации жилищного фонда: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3.1. В срок до 20 ноября 2025 года разработать и утвердить план-график проведения инвентаризации жилищного фонда по территориям сельских поселений.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tabs>
          <w:tab w:val="left" w:leader="none" w:pos="1276"/>
        </w:tabs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3.2. Обеспечить взаимодействие с управляющими компаниями, товариществами собственников жилья и иными организациями, осуществляющими управление многоквартирными домами.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3.3. По результатам инвентаризации сформировать: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реестр многоквартирных домов;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реестр индивидуальных жилых домов;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реестр жилых помещений муниципального жилищного фонда;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/>
        <w:jc w:val="both"/>
        <w:rPr/>
      </w:pPr>
      <w:r>
        <w:rPr>
          <w:sz w:val="28"/>
          <w:szCs w:val="28"/>
          <w:lang w:val="tt-RU"/>
        </w:rPr>
        <w:t xml:space="preserve">реестр аварийного и ветхого жилищного фонда.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3.4. Представить итоговый отчет о результатах инвентаризации жилищного фонда в срок до 15 марта 2026 года.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tabs>
          <w:tab w:val="left" w:leader="none" w:pos="992"/>
        </w:tabs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4. Рекомендовать главам сельских поселений Актанышского муниципального района: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4.1. Оказывать содействие комиссии при проведении инвентаризации жилищного фонда на территории соответствующих поселений.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4.2. Информировать жителей о проведении инвентаризации жилищного фонда.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5. Опубликовать настоящее распоряжение на официальном сайте Актанышского муниципального района и в районной газете "Актаныш таңнары".</w:t>
      </w:r>
      <w:r>
        <w:rPr>
          <w:sz w:val="28"/>
          <w:szCs w:val="28"/>
          <w:lang w:val="tt-RU"/>
        </w:rPr>
      </w:r>
      <w:r/>
    </w:p>
    <w:p>
      <w:pPr>
        <w:pStyle w:val="836"/>
        <w:pBdr/>
        <w:spacing/>
        <w:ind w:right="0" w:firstLine="709" w:left="0"/>
        <w:jc w:val="both"/>
        <w:rPr/>
      </w:pPr>
      <w:r>
        <w:rPr>
          <w:sz w:val="28"/>
          <w:szCs w:val="28"/>
          <w:lang w:val="tt-RU"/>
        </w:rPr>
        <w:t xml:space="preserve">6. Контроль за исполнением настоящего распоряжения возложить на председателя МКУ “ПИЗО Актанышского муниципального района РТ”.</w:t>
      </w:r>
      <w:r>
        <w:rPr>
          <w:sz w:val="28"/>
          <w:szCs w:val="28"/>
          <w:lang w:val="tt-RU"/>
        </w:rPr>
      </w:r>
      <w:r/>
    </w:p>
    <w:p>
      <w:pPr>
        <w:pBdr/>
        <w:spacing/>
        <w:ind/>
        <w:jc w:val="both"/>
        <w:rPr>
          <w:sz w:val="28"/>
          <w:szCs w:val="28"/>
          <w:lang w:val="tt-RU"/>
        </w:rPr>
      </w:pP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lang w:val="tt-RU"/>
        </w:rPr>
      </w:r>
    </w:p>
    <w:p>
      <w:pPr>
        <w:pBdr/>
        <w:spacing/>
        <w:ind/>
        <w:jc w:val="both"/>
        <w:rPr>
          <w:sz w:val="28"/>
          <w:szCs w:val="28"/>
          <w:highlight w:val="none"/>
          <w:lang w:val="tt-RU"/>
        </w:rPr>
      </w:pP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highlight w:val="none"/>
          <w:lang w:val="tt-RU"/>
        </w:rPr>
      </w:r>
    </w:p>
    <w:p>
      <w:pPr>
        <w:pBdr/>
        <w:spacing/>
        <w:ind/>
        <w:jc w:val="both"/>
        <w:rPr>
          <w:sz w:val="28"/>
          <w:szCs w:val="28"/>
          <w:highlight w:val="none"/>
          <w:lang w:val="tt-RU"/>
        </w:rPr>
      </w:pP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highlight w:val="none"/>
          <w:lang w:val="tt-RU"/>
        </w:rPr>
      </w:r>
      <w:r>
        <w:rPr>
          <w:sz w:val="28"/>
          <w:szCs w:val="28"/>
          <w:highlight w:val="none"/>
          <w:lang w:val="tt-RU"/>
        </w:rPr>
      </w:r>
    </w:p>
    <w:p>
      <w:pPr>
        <w:pStyle w:val="836"/>
        <w:pBdr/>
        <w:spacing/>
        <w:ind/>
        <w:jc w:val="both"/>
        <w:rPr>
          <w:sz w:val="28"/>
          <w:szCs w:val="28"/>
          <w:highlight w:val="none"/>
          <w:lang w:val="tt-RU"/>
        </w:rPr>
      </w:pPr>
      <w:r>
        <w:rPr>
          <w:sz w:val="28"/>
          <w:szCs w:val="28"/>
          <w:lang w:val="tt-RU"/>
        </w:rPr>
        <w:t xml:space="preserve">Руководитель                                                                                            И.Ш. Бариев</w:t>
      </w:r>
      <w:r>
        <w:rPr>
          <w:sz w:val="28"/>
          <w:szCs w:val="28"/>
          <w:lang w:val="tt-RU"/>
        </w:rPr>
      </w:r>
      <w:r>
        <w:rPr>
          <w:sz w:val="28"/>
          <w:szCs w:val="28"/>
          <w:highlight w:val="none"/>
          <w:lang w:val="tt-RU"/>
        </w:rPr>
      </w:r>
    </w:p>
    <w:p>
      <w:pPr>
        <w:pStyle w:val="836"/>
        <w:pBdr/>
        <w:spacing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pBdr/>
        <w:spacing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1134" w:bottom="1134" w:left="1134" w:header="397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93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291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01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7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091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811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171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89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basedOn w:val="836"/>
    <w:next w:val="836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paragraph" w:styleId="686">
    <w:name w:val="Header"/>
    <w:basedOn w:val="836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Header Char"/>
    <w:link w:val="686"/>
    <w:uiPriority w:val="99"/>
    <w:pPr>
      <w:pBdr/>
      <w:spacing/>
      <w:ind/>
    </w:pPr>
  </w:style>
  <w:style w:type="paragraph" w:styleId="688">
    <w:name w:val="Footer"/>
    <w:basedOn w:val="836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Footer Char"/>
    <w:link w:val="688"/>
    <w:uiPriority w:val="99"/>
    <w:pPr>
      <w:pBdr/>
      <w:spacing/>
      <w:ind/>
    </w:pPr>
  </w:style>
  <w:style w:type="paragraph" w:styleId="690">
    <w:name w:val="Caption"/>
    <w:basedOn w:val="836"/>
    <w:next w:val="8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  <w:pPr>
      <w:pBdr/>
      <w:spacing/>
      <w:ind/>
    </w:pPr>
  </w:style>
  <w:style w:type="table" w:styleId="692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basedOn w:val="836"/>
    <w:next w:val="836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basedOn w:val="836"/>
    <w:next w:val="836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basedOn w:val="836"/>
    <w:next w:val="836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basedOn w:val="836"/>
    <w:next w:val="836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basedOn w:val="836"/>
    <w:next w:val="836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basedOn w:val="836"/>
    <w:next w:val="836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basedOn w:val="836"/>
    <w:next w:val="836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basedOn w:val="836"/>
    <w:next w:val="836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basedOn w:val="836"/>
    <w:next w:val="836"/>
    <w:uiPriority w:val="99"/>
    <w:unhideWhenUsed/>
    <w:pPr>
      <w:pBdr/>
      <w:spacing w:after="0" w:afterAutospacing="0"/>
      <w:ind/>
    </w:pPr>
  </w:style>
  <w:style w:type="paragraph" w:styleId="836" w:default="1">
    <w:name w:val="Normal"/>
    <w:next w:val="836"/>
    <w:link w:val="836"/>
    <w:qFormat/>
    <w:pPr>
      <w:pBdr/>
      <w:spacing/>
      <w:ind/>
    </w:pPr>
    <w:rPr>
      <w:lang w:val="ru-RU" w:eastAsia="ru-RU" w:bidi="ar-SA"/>
    </w:rPr>
  </w:style>
  <w:style w:type="paragraph" w:styleId="837">
    <w:name w:val="Заголовок 1"/>
    <w:basedOn w:val="836"/>
    <w:next w:val="836"/>
    <w:link w:val="836"/>
    <w:qFormat/>
    <w:pPr>
      <w:keepNext w:val="true"/>
      <w:pBdr/>
      <w:spacing/>
      <w:ind w:firstLine="720"/>
      <w:jc w:val="both"/>
      <w:outlineLvl w:val="0"/>
    </w:pPr>
    <w:rPr>
      <w:b/>
      <w:sz w:val="28"/>
    </w:rPr>
  </w:style>
  <w:style w:type="paragraph" w:styleId="838">
    <w:name w:val="Заголовок 2"/>
    <w:basedOn w:val="836"/>
    <w:next w:val="836"/>
    <w:link w:val="836"/>
    <w:qFormat/>
    <w:pPr>
      <w:keepNext w:val="true"/>
      <w:widowControl w:val="false"/>
      <w:pBdr/>
      <w:spacing/>
      <w:ind w:firstLine="720" w:left="5760"/>
      <w:outlineLvl w:val="1"/>
    </w:pPr>
    <w:rPr>
      <w:b/>
      <w:color w:val="000000"/>
      <w:sz w:val="28"/>
    </w:rPr>
  </w:style>
  <w:style w:type="character" w:styleId="839">
    <w:name w:val="Основной шрифт абзаца"/>
    <w:next w:val="839"/>
    <w:link w:val="836"/>
    <w:semiHidden/>
    <w:pPr>
      <w:pBdr/>
      <w:spacing/>
      <w:ind/>
    </w:pPr>
  </w:style>
  <w:style w:type="table" w:styleId="840">
    <w:name w:val="Обычная таблица"/>
    <w:next w:val="840"/>
    <w:link w:val="83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>
    <w:name w:val="Нет списка"/>
    <w:next w:val="841"/>
    <w:link w:val="836"/>
    <w:semiHidden/>
    <w:pPr>
      <w:pBdr/>
      <w:spacing/>
      <w:ind/>
    </w:pPr>
  </w:style>
  <w:style w:type="paragraph" w:styleId="842">
    <w:name w:val="Основной текст"/>
    <w:basedOn w:val="836"/>
    <w:next w:val="842"/>
    <w:link w:val="836"/>
    <w:pPr>
      <w:pBdr/>
      <w:spacing/>
      <w:ind/>
      <w:jc w:val="both"/>
    </w:pPr>
    <w:rPr>
      <w:sz w:val="28"/>
    </w:rPr>
  </w:style>
  <w:style w:type="paragraph" w:styleId="843">
    <w:name w:val="Текст выноски"/>
    <w:basedOn w:val="836"/>
    <w:next w:val="843"/>
    <w:link w:val="836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44">
    <w:name w:val="Без интервала"/>
    <w:next w:val="844"/>
    <w:link w:val="836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45">
    <w:name w:val="Гиперссылка"/>
    <w:next w:val="845"/>
    <w:link w:val="836"/>
    <w:uiPriority w:val="99"/>
    <w:unhideWhenUsed/>
    <w:pPr>
      <w:pBdr/>
      <w:spacing/>
      <w:ind/>
    </w:pPr>
    <w:rPr>
      <w:color w:val="0563c1"/>
      <w:u w:val="single"/>
    </w:rPr>
  </w:style>
  <w:style w:type="table" w:styleId="846">
    <w:name w:val="Сетка таблицы"/>
    <w:basedOn w:val="840"/>
    <w:next w:val="846"/>
    <w:link w:val="83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Верхний колонтитул"/>
    <w:basedOn w:val="836"/>
    <w:next w:val="847"/>
    <w:link w:val="8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48">
    <w:name w:val="Верхний колонтитул Знак"/>
    <w:basedOn w:val="839"/>
    <w:next w:val="848"/>
    <w:link w:val="847"/>
    <w:uiPriority w:val="99"/>
    <w:pPr>
      <w:pBdr/>
      <w:spacing/>
      <w:ind/>
    </w:pPr>
  </w:style>
  <w:style w:type="paragraph" w:styleId="849">
    <w:name w:val="Нижний колонтитул"/>
    <w:basedOn w:val="836"/>
    <w:next w:val="849"/>
    <w:link w:val="8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50">
    <w:name w:val="Нижний колонтитул Знак"/>
    <w:basedOn w:val="839"/>
    <w:next w:val="850"/>
    <w:link w:val="849"/>
    <w:uiPriority w:val="99"/>
    <w:pPr>
      <w:pBdr/>
      <w:spacing/>
      <w:ind/>
    </w:pPr>
  </w:style>
  <w:style w:type="paragraph" w:styleId="851">
    <w:name w:val="Абзац списка"/>
    <w:basedOn w:val="836"/>
    <w:next w:val="851"/>
    <w:link w:val="836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852" w:default="1">
    <w:name w:val="Default Paragraph Font"/>
    <w:uiPriority w:val="1"/>
    <w:semiHidden/>
    <w:unhideWhenUsed/>
    <w:pPr>
      <w:pBdr/>
      <w:spacing/>
      <w:ind/>
    </w:p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jfb</dc:creator>
  <cp:revision>22</cp:revision>
  <dcterms:created xsi:type="dcterms:W3CDTF">2015-03-19T07:16:00Z</dcterms:created>
  <dcterms:modified xsi:type="dcterms:W3CDTF">2025-11-10T10:15:16Z</dcterms:modified>
  <cp:version>1048576</cp:version>
</cp:coreProperties>
</file>