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9781" w:type="dxa"/>
        <w:tblInd w:w="140" w:type="dxa"/>
        <w:tblBorders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  <w:gridCol w:w="1417"/>
        <w:gridCol w:w="4111"/>
      </w:tblGrid>
      <w:tr>
        <w:trPr>
          <w:trHeight w:val="184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832"/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ИСПОЛНИТЕЛЬН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ЫЙ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КОМИТЕТ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</w:r>
          </w:p>
          <w:p>
            <w:pPr>
              <w:pStyle w:val="832"/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АКТАНЫШСКОГО МУНИЦИПАЛЬНОГО РАЙОНА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</w:r>
          </w:p>
          <w:p>
            <w:pPr>
              <w:pStyle w:val="832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РЕСПУБЛИКИ ТАТАРСТАН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32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32"/>
              <w:pBdr/>
              <w:spacing/>
              <w: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пр. Ленина, </w:t>
            </w:r>
            <w:r>
              <w:rPr>
                <w:rFonts w:ascii="Arial" w:hAnsi="Arial" w:cs="Arial"/>
              </w:rPr>
              <w:t xml:space="preserve">дом 17, с</w:t>
            </w:r>
            <w:r>
              <w:rPr>
                <w:rFonts w:ascii="Arial" w:hAnsi="Arial" w:cs="Arial"/>
              </w:rPr>
              <w:t xml:space="preserve">.</w:t>
            </w:r>
            <w:r>
              <w:rPr>
                <w:rFonts w:ascii="Arial" w:hAnsi="Arial" w:cs="Arial"/>
              </w:rPr>
              <w:t xml:space="preserve">Актаныш, 423740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32"/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</w:r>
            <w:r>
              <w:rPr>
                <w:rFonts w:ascii="Arial" w:hAnsi="Arial" w:cs="Arial"/>
                <w:b/>
                <w:bCs/>
                <w:sz w:val="10"/>
              </w:rPr>
            </w:r>
            <w:r>
              <w:rPr>
                <w:rFonts w:ascii="Arial" w:hAnsi="Arial" w:cs="Arial"/>
                <w:b/>
                <w:bCs/>
                <w:sz w:val="10"/>
              </w:rPr>
            </w:r>
          </w:p>
          <w:p>
            <w:pPr>
              <w:pStyle w:val="832"/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</w:r>
            <w:r>
              <w:rPr>
                <w:rFonts w:ascii="Arial" w:hAnsi="Arial" w:cs="Arial"/>
                <w:b/>
                <w:bCs/>
                <w:sz w:val="10"/>
              </w:rPr>
            </w:r>
            <w:r>
              <w:rPr>
                <w:rFonts w:ascii="Arial" w:hAnsi="Arial" w:cs="Arial"/>
                <w:b/>
                <w:bCs/>
                <w:sz w:val="10"/>
              </w:rPr>
            </w:r>
          </w:p>
          <w:p>
            <w:pPr>
              <w:pStyle w:val="832"/>
              <w:pBdr/>
              <w:spacing/>
              <w:ind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19150" cy="952500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73281112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19149" cy="9524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64.50pt;height:75.00pt;mso-wrap-distance-left:0.00pt;mso-wrap-distance-top:0.00pt;mso-wrap-distance-right:0.00pt;mso-wrap-distance-bottom:0.00pt;z-index:1;" stroked="false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32"/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ТАТАРСТАН РЕСПУБЛИКАСЫ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</w:r>
          </w:p>
          <w:p>
            <w:pPr>
              <w:pStyle w:val="832"/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АКТАНЫШ МУНИЦИПАЛЬ РАЙОНЫ БАШКАРМА КОМИТЕТЫ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  <w:p>
            <w:pPr>
              <w:pStyle w:val="832"/>
              <w:pBdr/>
              <w:spacing/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32"/>
              <w:pBdr/>
              <w:spacing/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Ленин пр.</w:t>
            </w:r>
            <w:r>
              <w:rPr>
                <w:rFonts w:ascii="Arial" w:hAnsi="Arial" w:cs="Arial"/>
              </w:rPr>
              <w:t xml:space="preserve">,17  йорт, </w:t>
            </w:r>
            <w:r>
              <w:rPr>
                <w:rFonts w:ascii="Arial" w:hAnsi="Arial" w:cs="Arial"/>
              </w:rPr>
              <w:t xml:space="preserve">Актаныш ав</w:t>
            </w:r>
            <w:r>
              <w:rPr>
                <w:rFonts w:ascii="Arial" w:hAnsi="Arial" w:cs="Arial"/>
              </w:rPr>
              <w:t xml:space="preserve">.</w:t>
            </w:r>
            <w:r>
              <w:rPr>
                <w:rFonts w:ascii="Arial" w:hAnsi="Arial" w:cs="Arial"/>
              </w:rPr>
              <w:t xml:space="preserve">, 423740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</w:tbl>
    <w:p>
      <w:pPr>
        <w:pStyle w:val="832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394970</wp:posOffset>
                </wp:positionV>
                <wp:extent cx="6202045" cy="5715"/>
                <wp:effectExtent l="0" t="0" r="0" b="0"/>
                <wp:wrapNone/>
                <wp:docPr id="2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202044" cy="57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headEnd w="sm" len="lg"/>
                          <a:tailEnd w="sm" len="lg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2.5pt,31.1pt" to="490.8pt,31.5pt" filled="f" strokecolor="#000000" strokeweight="1.50pt"/>
            </w:pict>
          </mc:Fallback>
        </mc:AlternateConten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pPr w:horzAnchor="margin" w:tblpX="108" w:vertAnchor="text" w:tblpY="31" w:leftFromText="180" w:topFromText="0" w:rightFromText="180" w:bottomFromText="0"/>
        <w:tblW w:w="9822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22"/>
      </w:tblGrid>
      <w:tr>
        <w:trPr>
          <w:trHeight w:val="30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22" w:type="dxa"/>
            <w:vAlign w:val="top"/>
            <w:textDirection w:val="lrTb"/>
            <w:noWrap w:val="false"/>
          </w:tcPr>
          <w:p>
            <w:pPr>
              <w:pStyle w:val="832"/>
              <w:framePr w:hAnchor="margin" w:hSpace="180" w:vAnchor="text" w:wrap="around" w:x="108" w:y="31"/>
              <w:pBdr/>
              <w:spacing/>
              <w:ind w:right="-249"/>
              <w:jc w:val="center"/>
              <w:rPr>
                <w:rFonts w:ascii="Arial" w:hAnsi="Arial" w:cs="Arial"/>
                <w:color w:val="000000"/>
                <w:lang w:val="tt-RU"/>
              </w:rPr>
            </w:pPr>
            <w:r>
              <w:rPr>
                <w:rFonts w:ascii="Arial" w:hAnsi="Arial" w:cs="Arial"/>
                <w:color w:val="000000"/>
              </w:rPr>
              <w:t xml:space="preserve">Тел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. (85552) 3-</w:t>
            </w:r>
            <w:r>
              <w:rPr>
                <w:rFonts w:ascii="Arial" w:hAnsi="Arial" w:cs="Arial"/>
                <w:color w:val="000000"/>
              </w:rPr>
              <w:t xml:space="preserve">44-22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 xml:space="preserve">факс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(85552)  3-</w:t>
            </w:r>
            <w:r>
              <w:rPr>
                <w:rFonts w:ascii="Arial" w:hAnsi="Arial" w:cs="Arial"/>
                <w:color w:val="000000"/>
              </w:rPr>
              <w:t xml:space="preserve">44-14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, E-mail: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mail.Aktanish@tatar.ru 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begin"/>
            </w:r>
            <w:r>
              <w:rPr>
                <w:rFonts w:ascii="Arial" w:hAnsi="Arial" w:cs="Arial"/>
                <w:color w:val="000000"/>
                <w:lang w:val="en-US"/>
              </w:rPr>
              <w:instrText xml:space="preserve"> HYPERLINK "http://www.aktanysh.tatarstan.ru" </w:instrTex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563c1"/>
                <w:u w:val="single"/>
                <w:lang w:val="en-US"/>
              </w:rPr>
              <w:t xml:space="preserve">www.aktanysh.tatarstan.ru</w:t>
            </w:r>
            <w:r>
              <w:rPr>
                <w:rFonts w:ascii="Arial" w:hAnsi="Arial" w:cs="Arial"/>
                <w:color w:val="000000"/>
                <w:lang w:val="en-US"/>
              </w:rPr>
              <w:fldChar w:fldCharType="end"/>
            </w:r>
            <w:r>
              <w:rPr>
                <w:rFonts w:ascii="Arial" w:hAnsi="Arial" w:cs="Arial"/>
                <w:color w:val="000000"/>
                <w:lang w:val="tt-RU"/>
              </w:rPr>
            </w:r>
            <w:r>
              <w:rPr>
                <w:rFonts w:ascii="Arial" w:hAnsi="Arial" w:cs="Arial"/>
                <w:color w:val="000000"/>
                <w:lang w:val="tt-RU"/>
              </w:rPr>
            </w:r>
          </w:p>
        </w:tc>
      </w:tr>
    </w:tbl>
    <w:p>
      <w:pPr>
        <w:pStyle w:val="832"/>
        <w:pBdr/>
        <w:spacing/>
        <w:ind w:left="-284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</w:r>
      <w:r>
        <w:rPr>
          <w:rFonts w:ascii="Arial" w:hAnsi="Arial" w:cs="Arial"/>
          <w:sz w:val="24"/>
          <w:szCs w:val="24"/>
          <w:lang w:val="tt-RU"/>
        </w:rPr>
      </w:r>
      <w:r>
        <w:rPr>
          <w:rFonts w:ascii="Arial" w:hAnsi="Arial" w:cs="Arial"/>
          <w:sz w:val="24"/>
          <w:szCs w:val="24"/>
          <w:lang w:val="tt-RU"/>
        </w:rPr>
      </w:r>
    </w:p>
    <w:tbl>
      <w:tblPr>
        <w:tblpPr w:horzAnchor="margin" w:tblpXSpec="center" w:vertAnchor="text" w:tblpY="-14" w:leftFromText="180" w:topFromText="0" w:rightFromText="180" w:bottomFromText="0"/>
        <w:tblW w:w="9639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39"/>
      </w:tblGrid>
      <w:tr>
        <w:trPr>
          <w:trHeight w:val="9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39" w:type="dxa"/>
            <w:vAlign w:val="top"/>
            <w:textDirection w:val="lrTb"/>
            <w:noWrap w:val="false"/>
          </w:tcPr>
          <w:p>
            <w:pPr>
              <w:pStyle w:val="832"/>
              <w:framePr w:hAnchor="margin" w:hSpace="180" w:vAnchor="text" w:wrap="around" w:xAlign="center" w:y="-14"/>
              <w:pBdr/>
              <w:spacing/>
              <w: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</w:t>
            </w:r>
            <w:r>
              <w:rPr>
                <w:rFonts w:ascii="Arial" w:hAnsi="Arial" w:cs="Arial"/>
                <w:sz w:val="24"/>
                <w:szCs w:val="24"/>
              </w:rPr>
              <w:t xml:space="preserve">ЕНИЕ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К А Р А Р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832"/>
              <w:framePr w:hAnchor="margin" w:hSpace="180" w:vAnchor="text" w:wrap="around" w:xAlign="center" w:y="-14"/>
              <w:pBdr/>
              <w:spacing/>
              <w: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</w:t>
            </w:r>
            <w:r>
              <w:rPr>
                <w:rFonts w:ascii="Arial" w:hAnsi="Arial" w:cs="Arial"/>
                <w:sz w:val="24"/>
                <w:szCs w:val="24"/>
              </w:rPr>
              <w:t xml:space="preserve">   _____________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№</w:t>
            </w:r>
            <w:r>
              <w:rPr>
                <w:rFonts w:ascii="Arial" w:hAnsi="Arial" w:cs="Arial"/>
                <w:sz w:val="24"/>
                <w:szCs w:val="24"/>
              </w:rPr>
              <w:t xml:space="preserve">    _______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832"/>
        <w:widowControl w:val="false"/>
        <w:pBdr/>
        <w:spacing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/>
        <w:jc w:val="both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Об утверждении Программы профилактики </w:t>
      </w:r>
      <w:r>
        <w:rPr>
          <w:rFonts w:ascii="Liberation Sans" w:hAnsi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color w:val="auto"/>
          <w:sz w:val="28"/>
          <w:szCs w:val="28"/>
        </w:rPr>
      </w:r>
    </w:p>
    <w:p>
      <w:pPr>
        <w:pBdr/>
        <w:spacing/>
        <w:ind/>
        <w:jc w:val="both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рисков причинения вреда охраняемым законом</w:t>
      </w:r>
      <w:r>
        <w:rPr>
          <w:rFonts w:ascii="Liberation Sans" w:hAnsi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color w:val="auto"/>
          <w:sz w:val="28"/>
          <w:szCs w:val="28"/>
        </w:rPr>
      </w:r>
    </w:p>
    <w:p>
      <w:pPr>
        <w:pBdr/>
        <w:spacing/>
        <w:ind/>
        <w:jc w:val="both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ценностям в рамках муниципального</w:t>
      </w:r>
      <w:r>
        <w:rPr>
          <w:rFonts w:ascii="Liberation Sans" w:hAnsi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color w:val="auto"/>
          <w:sz w:val="28"/>
          <w:szCs w:val="28"/>
        </w:rPr>
      </w:r>
    </w:p>
    <w:p>
      <w:pPr>
        <w:pBdr/>
        <w:spacing/>
        <w:ind/>
        <w:jc w:val="both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земельного конт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роля по Актанышскому</w:t>
      </w:r>
      <w:r>
        <w:rPr>
          <w:rFonts w:ascii="Liberation Sans" w:hAnsi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color w:val="auto"/>
          <w:sz w:val="28"/>
          <w:szCs w:val="28"/>
        </w:rPr>
      </w:r>
    </w:p>
    <w:p>
      <w:pPr>
        <w:pBdr/>
        <w:spacing/>
        <w:ind/>
        <w:jc w:val="both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муниципальному району на 202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5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год</w:t>
      </w:r>
      <w:r>
        <w:rPr>
          <w:rFonts w:ascii="Liberation Sans" w:hAnsi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color w:val="auto"/>
          <w:sz w:val="28"/>
          <w:szCs w:val="28"/>
        </w:rPr>
      </w:r>
    </w:p>
    <w:p>
      <w:pPr>
        <w:pBdr/>
        <w:spacing/>
        <w:ind/>
        <w:jc w:val="both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color w:val="auto"/>
          <w:sz w:val="28"/>
          <w:szCs w:val="28"/>
        </w:rPr>
      </w:r>
    </w:p>
    <w:p>
      <w:pPr>
        <w:pBdr/>
        <w:spacing/>
        <w:ind/>
        <w:jc w:val="both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ab/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Федеральны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м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закон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ом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от 31.07.2020 №248-ФЗ «О государственном контроле (надзоре) и муниципальном контроле в Российской Федерации», постановление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м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Правительства Российской Федерации от 25.06.2021 №990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, Исполнительный комитет Актанышского муниципального района постановляет:</w:t>
      </w:r>
      <w:r>
        <w:rPr>
          <w:rFonts w:ascii="Liberation Sans" w:hAnsi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color w:val="auto"/>
          <w:sz w:val="28"/>
          <w:szCs w:val="28"/>
        </w:rPr>
      </w:r>
    </w:p>
    <w:p>
      <w:pPr>
        <w:pBdr/>
        <w:spacing/>
        <w:ind/>
        <w:jc w:val="both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ab/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1. Утвердить Программу профилактики рисков причинения вреда охраняемым законом ценностям в рамках муниципального земельного контроля по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Актанышскому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муниципальному району на 202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5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год согласно приложению №1.</w:t>
      </w:r>
      <w:r>
        <w:rPr>
          <w:rFonts w:ascii="Liberation Sans" w:hAnsi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color w:val="auto"/>
          <w:sz w:val="28"/>
          <w:szCs w:val="28"/>
        </w:rPr>
      </w:r>
    </w:p>
    <w:p>
      <w:pPr>
        <w:pBdr/>
        <w:spacing/>
        <w:ind w:firstLine="709"/>
        <w:jc w:val="both"/>
        <w:rPr>
          <w:rStyle w:val="842"/>
          <w:rFonts w:ascii="Liberation Sans" w:hAnsi="Liberation Sans" w:cs="Liberation Sans"/>
          <w:color w:val="auto"/>
          <w:sz w:val="28"/>
          <w:szCs w:val="28"/>
          <w:u w:val="none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2.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Опубликовать настоящее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постановление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на Официальном портале правовой информации Республики Татарстан (pravo.tatarstan.ru) и разместить на официальном сайте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Актанышского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муниципального района </w:t>
      </w:r>
      <w:hyperlink r:id="rId10" w:tooltip="http://www.alkeevskiy.tatarstan.ru" w:history="1">
        <w:r>
          <w:rPr>
            <w:rStyle w:val="842"/>
            <w:rFonts w:ascii="Liberation Sans" w:hAnsi="Liberation Sans" w:eastAsia="Liberation Sans" w:cs="Liberation Sans"/>
            <w:color w:val="auto"/>
            <w:u w:val="none"/>
          </w:rPr>
        </w:r>
        <w:r>
          <w:rPr>
            <w:rStyle w:val="842"/>
            <w:rFonts w:ascii="Liberation Sans" w:hAnsi="Liberation Sans" w:eastAsia="Liberation Sans" w:cs="Liberation Sans"/>
            <w:color w:val="auto"/>
            <w:sz w:val="28"/>
            <w:szCs w:val="28"/>
            <w:u w:val="none"/>
          </w:rPr>
          <w:t xml:space="preserve">https://aktanysh.tatarstan.ru/</w:t>
        </w:r>
        <w:r>
          <w:rPr>
            <w:rStyle w:val="842"/>
            <w:rFonts w:ascii="Liberation Sans" w:hAnsi="Liberation Sans" w:eastAsia="Liberation Sans" w:cs="Liberation Sans"/>
            <w:color w:val="auto"/>
            <w:u w:val="none"/>
          </w:rPr>
        </w:r>
      </w:hyperlink>
      <w:r>
        <w:rPr>
          <w:rStyle w:val="842"/>
          <w:rFonts w:ascii="Liberation Sans" w:hAnsi="Liberation Sans" w:eastAsia="Liberation Sans" w:cs="Liberation Sans"/>
          <w:color w:val="auto"/>
          <w:sz w:val="28"/>
          <w:szCs w:val="28"/>
          <w:u w:val="none"/>
        </w:rPr>
        <w:t xml:space="preserve">.</w:t>
      </w:r>
      <w:r>
        <w:rPr>
          <w:rStyle w:val="842"/>
          <w:rFonts w:ascii="Liberation Sans" w:hAnsi="Liberation Sans" w:cs="Liberation Sans"/>
          <w:color w:val="auto"/>
          <w:sz w:val="28"/>
          <w:szCs w:val="28"/>
          <w:u w:val="none"/>
        </w:rPr>
      </w:r>
      <w:r>
        <w:rPr>
          <w:rStyle w:val="842"/>
          <w:rFonts w:ascii="Liberation Sans" w:hAnsi="Liberation Sans" w:cs="Liberation Sans"/>
          <w:color w:val="auto"/>
          <w:sz w:val="28"/>
          <w:szCs w:val="28"/>
          <w:u w:val="none"/>
        </w:rPr>
      </w:r>
    </w:p>
    <w:p>
      <w:pPr>
        <w:pBdr/>
        <w:spacing/>
        <w:ind w:firstLine="709"/>
        <w:jc w:val="both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Style w:val="842"/>
          <w:rFonts w:ascii="Liberation Sans" w:hAnsi="Liberation Sans" w:eastAsia="Liberation Sans" w:cs="Liberation Sans"/>
          <w:color w:val="auto"/>
          <w:sz w:val="28"/>
          <w:szCs w:val="28"/>
          <w:u w:val="none"/>
        </w:rPr>
        <w:t xml:space="preserve">3.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Style w:val="842"/>
          <w:rFonts w:ascii="Liberation Sans" w:hAnsi="Liberation Sans" w:eastAsia="Liberation Sans" w:cs="Liberation Sans"/>
          <w:color w:val="auto"/>
          <w:sz w:val="28"/>
          <w:szCs w:val="28"/>
          <w:u w:val="none"/>
        </w:rPr>
        <w:t xml:space="preserve">Установить, что настоящее постановление вступает в силу с 1 января 2025 года.</w:t>
      </w:r>
      <w:r>
        <w:rPr>
          <w:rFonts w:ascii="Liberation Sans" w:hAnsi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color w:val="auto"/>
          <w:sz w:val="28"/>
          <w:szCs w:val="28"/>
        </w:rPr>
      </w:r>
    </w:p>
    <w:p>
      <w:pPr>
        <w:pBdr/>
        <w:spacing/>
        <w:ind/>
        <w:jc w:val="both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ab/>
        <w:t xml:space="preserve">4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Контроль за исполнением настоящего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постановления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возложить на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председателя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МКУ «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ПИЗО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Актанышского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муниципального района РТ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.</w:t>
      </w:r>
      <w:r>
        <w:rPr>
          <w:rFonts w:ascii="Liberation Sans" w:hAnsi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color w:val="auto"/>
          <w:sz w:val="28"/>
          <w:szCs w:val="28"/>
        </w:rPr>
      </w:r>
    </w:p>
    <w:p>
      <w:pPr>
        <w:pBdr/>
        <w:spacing/>
        <w:ind/>
        <w:jc w:val="both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color w:val="auto"/>
          <w:sz w:val="28"/>
          <w:szCs w:val="28"/>
        </w:rPr>
      </w:r>
    </w:p>
    <w:p>
      <w:pPr>
        <w:pBdr/>
        <w:spacing/>
        <w:ind/>
        <w:jc w:val="both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color w:val="auto"/>
          <w:sz w:val="28"/>
          <w:szCs w:val="28"/>
        </w:rPr>
      </w:r>
    </w:p>
    <w:p>
      <w:pPr>
        <w:pBdr/>
        <w:spacing/>
        <w:ind/>
        <w:jc w:val="both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И.о. руководителя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ab/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ab/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ab/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ab/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ab/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ab/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ab/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              И.Ш. Бариев</w:t>
      </w:r>
      <w:r>
        <w:rPr>
          <w:rFonts w:ascii="Liberation Sans" w:hAnsi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color w:val="auto"/>
          <w:sz w:val="28"/>
          <w:szCs w:val="28"/>
        </w:rPr>
      </w:r>
    </w:p>
    <w:p>
      <w:pPr>
        <w:pBdr/>
        <w:spacing/>
        <w:ind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left="0"/>
        <w:jc w:val="both"/>
        <w:rPr>
          <w:rFonts w:ascii="Arial" w:hAnsi="Arial" w:cs="Arial"/>
          <w:color w:val="auto"/>
          <w:highlight w:val="none"/>
        </w:rPr>
      </w:pPr>
      <w:r>
        <w:rPr>
          <w:rFonts w:ascii="Arial" w:hAnsi="Arial" w:cs="Arial"/>
          <w:color w:val="auto"/>
          <w:highlight w:val="none"/>
        </w:rPr>
      </w:r>
      <w:r>
        <w:rPr>
          <w:rFonts w:ascii="Arial" w:hAnsi="Arial" w:cs="Arial"/>
          <w:color w:val="auto"/>
          <w:highlight w:val="none"/>
        </w:rPr>
      </w:r>
      <w:r>
        <w:rPr>
          <w:rFonts w:ascii="Arial" w:hAnsi="Arial" w:cs="Arial"/>
          <w:color w:val="auto"/>
          <w:highlight w:val="none"/>
        </w:rPr>
      </w:r>
    </w:p>
    <w:p>
      <w:pPr>
        <w:pBdr/>
        <w:spacing/>
        <w:ind w:left="6663"/>
        <w:jc w:val="left"/>
        <w:rPr>
          <w:rFonts w:ascii="Arial" w:hAnsi="Arial" w:cs="Arial"/>
          <w:color w:val="auto"/>
          <w:highlight w:val="none"/>
        </w:rPr>
      </w:pPr>
      <w:r>
        <w:rPr>
          <w:rFonts w:ascii="Arial" w:hAnsi="Arial" w:cs="Arial"/>
          <w:color w:val="auto"/>
        </w:rPr>
        <w:t xml:space="preserve">Приложение №</w:t>
      </w:r>
      <w:r>
        <w:rPr>
          <w:rFonts w:ascii="Arial" w:hAnsi="Arial" w:cs="Arial"/>
          <w:color w:val="auto"/>
        </w:rPr>
        <w:t xml:space="preserve"> 1</w:t>
      </w:r>
      <w:r>
        <w:rPr>
          <w:rFonts w:ascii="Arial" w:hAnsi="Arial" w:cs="Arial"/>
          <w:color w:val="auto"/>
          <w:highlight w:val="none"/>
        </w:rPr>
      </w:r>
      <w:r>
        <w:rPr>
          <w:rFonts w:ascii="Arial" w:hAnsi="Arial" w:cs="Arial"/>
          <w:color w:val="auto"/>
          <w:highlight w:val="none"/>
        </w:rPr>
      </w:r>
    </w:p>
    <w:p>
      <w:pPr>
        <w:pBdr/>
        <w:spacing/>
        <w:ind w:left="6663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к </w:t>
      </w:r>
      <w:r>
        <w:rPr>
          <w:rFonts w:ascii="Arial" w:hAnsi="Arial" w:cs="Arial"/>
          <w:color w:val="auto"/>
        </w:rPr>
        <w:t xml:space="preserve">постановлению Исполнительного комитета </w:t>
      </w:r>
      <w:bookmarkStart w:id="0" w:name="_GoBack"/>
      <w:r/>
      <w:bookmarkEnd w:id="0"/>
      <w:r>
        <w:rPr>
          <w:rFonts w:ascii="Arial" w:hAnsi="Arial" w:cs="Arial"/>
          <w:color w:val="auto"/>
        </w:rPr>
        <w:t xml:space="preserve">Актанышского</w:t>
      </w:r>
      <w:r>
        <w:rPr>
          <w:rFonts w:ascii="Arial" w:hAnsi="Arial" w:cs="Arial"/>
          <w:color w:val="auto"/>
        </w:rPr>
        <w:t xml:space="preserve"> муниципального района 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left="6663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от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__________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№ _____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left="666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Программа профилактики рисков причинения вреда охраняемым законом</w:t>
      </w:r>
      <w:r>
        <w:rPr>
          <w:rFonts w:ascii="Arial" w:hAnsi="Arial" w:cs="Arial"/>
          <w:color w:val="auto"/>
        </w:rPr>
        <w:br/>
        <w:t xml:space="preserve">ценностям в рамках </w:t>
      </w:r>
      <w:r>
        <w:rPr>
          <w:rFonts w:ascii="Arial" w:hAnsi="Arial" w:cs="Arial"/>
          <w:color w:val="auto"/>
        </w:rPr>
        <w:t xml:space="preserve">м</w:t>
      </w:r>
      <w:r>
        <w:rPr>
          <w:rFonts w:ascii="Arial" w:hAnsi="Arial" w:cs="Arial"/>
          <w:color w:val="auto"/>
        </w:rPr>
        <w:t xml:space="preserve">униципального земельного контроля</w:t>
      </w:r>
      <w:r>
        <w:rPr>
          <w:rFonts w:ascii="Arial" w:hAnsi="Arial" w:cs="Arial"/>
          <w:color w:val="auto"/>
        </w:rPr>
        <w:br/>
        <w:t xml:space="preserve">по </w:t>
      </w:r>
      <w:r>
        <w:rPr>
          <w:rFonts w:ascii="Arial" w:hAnsi="Arial" w:cs="Arial"/>
          <w:color w:val="auto"/>
        </w:rPr>
        <w:t xml:space="preserve">Актанышскому</w:t>
      </w:r>
      <w:r>
        <w:rPr>
          <w:rFonts w:ascii="Arial" w:hAnsi="Arial" w:cs="Arial"/>
          <w:color w:val="auto"/>
        </w:rPr>
        <w:t xml:space="preserve"> муниципальному району на 202</w:t>
      </w:r>
      <w:r>
        <w:rPr>
          <w:rFonts w:ascii="Arial" w:hAnsi="Arial" w:cs="Arial"/>
          <w:color w:val="auto"/>
        </w:rPr>
        <w:t xml:space="preserve">5</w:t>
      </w:r>
      <w:r>
        <w:rPr>
          <w:rFonts w:ascii="Arial" w:hAnsi="Arial" w:cs="Arial"/>
          <w:color w:val="auto"/>
        </w:rPr>
        <w:t xml:space="preserve"> год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highlight w:val="none"/>
        </w:rPr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/>
        <w:jc w:val="center"/>
        <w:rPr>
          <w:rFonts w:ascii="Arial" w:hAnsi="Arial" w:cs="Arial"/>
          <w:color w:val="auto"/>
          <w:highlight w:val="none"/>
        </w:rPr>
      </w:pPr>
      <w:r>
        <w:rPr>
          <w:rFonts w:ascii="Arial" w:hAnsi="Arial" w:cs="Arial"/>
          <w:color w:val="auto"/>
        </w:rPr>
        <w:t xml:space="preserve">ПАСПОРТ ПРОГРАММЫ</w:t>
      </w:r>
      <w:r>
        <w:rPr>
          <w:rFonts w:ascii="Arial" w:hAnsi="Arial" w:cs="Arial"/>
          <w:color w:val="auto"/>
          <w:highlight w:val="none"/>
        </w:rPr>
      </w:r>
      <w:r>
        <w:rPr>
          <w:rFonts w:ascii="Arial" w:hAnsi="Arial" w:cs="Arial"/>
          <w:color w:val="auto"/>
          <w:highlight w:val="none"/>
        </w:rPr>
      </w:r>
    </w:p>
    <w:tbl>
      <w:tblPr>
        <w:tblpPr w:horzAnchor="margin" w:tblpXSpec="center" w:vertAnchor="text" w:tblpY="245" w:leftFromText="180" w:topFromText="0" w:rightFromText="180" w:bottomFromText="0"/>
        <w:tblOverlap w:val="never"/>
        <w:tblW w:w="0" w:type="auto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4"/>
        <w:gridCol w:w="6374"/>
      </w:tblGrid>
      <w:tr>
        <w:trPr>
          <w:trHeight w:val="128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51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Наименование программы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37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Пр</w:t>
            </w:r>
            <w:r>
              <w:rPr>
                <w:rFonts w:ascii="Arial" w:hAnsi="Arial" w:cs="Arial"/>
                <w:color w:val="auto"/>
              </w:rPr>
              <w:t xml:space="preserve">о</w:t>
            </w:r>
            <w:r>
              <w:rPr>
                <w:rFonts w:ascii="Arial" w:hAnsi="Arial" w:cs="Arial"/>
                <w:color w:val="auto"/>
              </w:rPr>
              <w:t xml:space="preserve">грамма профилактики рисков причинения вреда охраняемым законом ценностям в рамках Муниципального земельного контроля по </w:t>
            </w:r>
            <w:r>
              <w:rPr>
                <w:rFonts w:ascii="Arial" w:hAnsi="Arial" w:cs="Arial"/>
                <w:color w:val="auto"/>
              </w:rPr>
              <w:t xml:space="preserve"> Актанышскому </w:t>
            </w:r>
            <w:r>
              <w:rPr>
                <w:rFonts w:ascii="Arial" w:hAnsi="Arial" w:cs="Arial"/>
                <w:color w:val="auto"/>
              </w:rPr>
              <w:t xml:space="preserve"> муниципальному району на 202</w:t>
            </w:r>
            <w:r>
              <w:rPr>
                <w:rFonts w:ascii="Arial" w:hAnsi="Arial" w:cs="Arial"/>
                <w:color w:val="auto"/>
              </w:rPr>
              <w:t xml:space="preserve">5</w:t>
            </w:r>
            <w:r>
              <w:rPr>
                <w:rFonts w:ascii="Arial" w:hAnsi="Arial" w:cs="Arial"/>
                <w:color w:val="auto"/>
              </w:rPr>
              <w:t xml:space="preserve"> год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rPr>
          <w:trHeight w:val="368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51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Правовые основания разработки программы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37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Федеральный закона от 31.07.2020 №248-ФЗ «О государственном контроле (надзоре) и муниципальном контроле в Росс</w:t>
            </w:r>
            <w:r>
              <w:rPr>
                <w:rFonts w:ascii="Arial" w:hAnsi="Arial" w:cs="Arial"/>
                <w:color w:val="auto"/>
              </w:rPr>
              <w:t xml:space="preserve">ийской Федерации», постановление Правительства Российской Федерации от 25.06.2021 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>
              <w:rPr>
                <w:rFonts w:ascii="Arial" w:hAnsi="Arial" w:cs="Arial"/>
                <w:color w:val="auto"/>
              </w:rPr>
              <w:t xml:space="preserve">решение Совета Актанышского муниципального района от 15.11.2021 г № 12-03 «</w:t>
            </w:r>
            <w:r>
              <w:rPr>
                <w:rFonts w:ascii="Arial" w:hAnsi="Arial" w:cs="Arial"/>
                <w:color w:val="auto"/>
              </w:rPr>
              <w:t xml:space="preserve">Об утверждении Положения о муниципальном земельном контроле в границах Актанышского муниципального района.</w:t>
            </w:r>
            <w:r>
              <w:rPr>
                <w:rFonts w:ascii="Arial" w:hAnsi="Arial" w:cs="Arial"/>
                <w:color w:val="auto"/>
              </w:rPr>
              <w:t xml:space="preserve">»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rPr>
          <w:trHeight w:val="70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51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Разработчик программы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37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Палата земельных и имущественных отношений </w:t>
            </w:r>
            <w:r>
              <w:rPr>
                <w:rFonts w:ascii="Arial" w:hAnsi="Arial" w:cs="Arial"/>
                <w:color w:val="auto"/>
              </w:rPr>
              <w:t xml:space="preserve"> Актанышского </w:t>
            </w:r>
            <w:r>
              <w:rPr>
                <w:rFonts w:ascii="Arial" w:hAnsi="Arial" w:cs="Arial"/>
                <w:color w:val="auto"/>
              </w:rPr>
              <w:t xml:space="preserve"> муниципального района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rPr>
          <w:trHeight w:val="87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51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Вид муниципального контроля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37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Муниципальный земельный контроль в границах </w:t>
            </w:r>
            <w:r>
              <w:rPr>
                <w:rFonts w:ascii="Arial" w:hAnsi="Arial" w:cs="Arial"/>
                <w:color w:val="auto"/>
              </w:rPr>
              <w:t xml:space="preserve"> Актанышского </w:t>
            </w:r>
            <w:r>
              <w:rPr>
                <w:rFonts w:ascii="Arial" w:hAnsi="Arial" w:cs="Arial"/>
                <w:color w:val="auto"/>
              </w:rPr>
              <w:t xml:space="preserve"> муниципального района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rPr>
          <w:trHeight w:val="426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51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Цели программы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Предотвращение рисков </w:t>
            </w:r>
            <w:r>
              <w:rPr>
                <w:rFonts w:ascii="Arial" w:hAnsi="Arial" w:cs="Arial"/>
                <w:color w:val="auto"/>
              </w:rPr>
              <w:t xml:space="preserve">причинения вреда охраняемым законом ценностям; Предупреждение нарушений обязательных требований (снижение числа нарушений обязательных требований) по видам контроля; Создание инфраструктуры профилактики рисков причинения вреда охраняемым законом ценностям;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Увеличение доли законопослушных подконтрольных субъектов;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Повышение прозрачности системы контрольно - надзорной деятельности;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Снижение уровня ущерба охраняемым законом ценностям</w:t>
            </w:r>
            <w:r>
              <w:rPr>
                <w:rFonts w:ascii="Arial" w:hAnsi="Arial" w:cs="Arial"/>
                <w:color w:val="auto"/>
              </w:rPr>
              <w:t xml:space="preserve">;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иные цели.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</w:tbl>
    <w:p>
      <w:pPr>
        <w:pBdr/>
        <w:spacing/>
        <w:ind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/>
        <w:jc w:val="both"/>
        <w:rPr>
          <w:rFonts w:ascii="Arial" w:hAnsi="Arial" w:cs="Arial"/>
          <w:color w:val="auto"/>
        </w:rPr>
        <w:sectPr>
          <w:footnotePr/>
          <w:endnotePr/>
          <w:type w:val="nextPage"/>
          <w:pgSz w:h="16840" w:orient="portrait" w:w="11900"/>
          <w:pgMar w:top="360" w:right="843" w:bottom="360" w:left="1134" w:header="0" w:footer="3" w:gutter="0"/>
          <w:cols w:num="1" w:sep="0" w:space="720" w:equalWidth="1"/>
        </w:sectPr>
      </w:pP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tbl>
      <w:tblPr>
        <w:tblOverlap w:val="never"/>
        <w:tblW w:w="0" w:type="auto"/>
        <w:tblInd w:w="719" w:type="dxa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4"/>
        <w:gridCol w:w="6374"/>
      </w:tblGrid>
      <w:tr>
        <w:trPr>
          <w:trHeight w:val="667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51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Задачи программы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37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Установление и</w:t>
            </w:r>
            <w:r>
              <w:rPr>
                <w:rFonts w:ascii="Arial" w:hAnsi="Arial" w:cs="Arial"/>
                <w:color w:val="auto"/>
              </w:rPr>
              <w:t xml:space="preserve">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Определение перечня видов и сбор статистических данных, необходимых для организации профилактической работы;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Повышение квалификации кадрового состава органов муниципального контроля;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Создание системы консультирования подконтрольных субъектов, в том числе с использованием современных информационно</w:t>
            </w:r>
            <w:r>
              <w:rPr>
                <w:rFonts w:ascii="Arial" w:hAnsi="Arial" w:cs="Arial"/>
                <w:color w:val="auto"/>
              </w:rPr>
              <w:t xml:space="preserve"> -</w:t>
            </w:r>
            <w:r>
              <w:rPr>
                <w:rFonts w:ascii="Arial" w:hAnsi="Arial" w:cs="Arial"/>
                <w:color w:val="auto"/>
              </w:rPr>
              <w:t xml:space="preserve">телекоммуникационных технологий.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rPr>
          <w:trHeight w:val="155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51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Сроки и этапы реализации программы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37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Срок реализации Программы: 202</w:t>
            </w:r>
            <w:r>
              <w:rPr>
                <w:rFonts w:ascii="Arial" w:hAnsi="Arial" w:cs="Arial"/>
                <w:color w:val="auto"/>
              </w:rPr>
              <w:t xml:space="preserve">5</w:t>
            </w:r>
            <w:r>
              <w:rPr>
                <w:rFonts w:ascii="Arial" w:hAnsi="Arial" w:cs="Arial"/>
                <w:color w:val="auto"/>
              </w:rPr>
              <w:t xml:space="preserve"> г.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В соответствии с Планом профилактических мероприятий, направленных на предупреждение нарушений обязательных требований по </w:t>
            </w:r>
            <w:r>
              <w:rPr>
                <w:rFonts w:ascii="Arial" w:hAnsi="Arial" w:cs="Arial"/>
                <w:color w:val="auto"/>
              </w:rPr>
              <w:t xml:space="preserve"> Актанышскому</w:t>
            </w:r>
            <w:r>
              <w:rPr>
                <w:rFonts w:ascii="Arial" w:hAnsi="Arial" w:cs="Arial"/>
                <w:color w:val="auto"/>
              </w:rPr>
              <w:t xml:space="preserve"> муниципальному району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rPr>
          <w:trHeight w:val="130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51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Источники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финансирования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37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Реализация Программы осуществляется в рамках текущего финансирования деятельности Палаты земельных и имущественных отношений </w:t>
            </w:r>
            <w:r>
              <w:rPr>
                <w:rFonts w:ascii="Arial" w:hAnsi="Arial" w:cs="Arial"/>
                <w:color w:val="auto"/>
              </w:rPr>
              <w:t xml:space="preserve"> Актанышского </w:t>
            </w:r>
            <w:r>
              <w:rPr>
                <w:rFonts w:ascii="Arial" w:hAnsi="Arial" w:cs="Arial"/>
                <w:color w:val="auto"/>
              </w:rPr>
              <w:t xml:space="preserve"> муниципального района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rPr>
          <w:trHeight w:val="380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51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Ожидаемые конечные результаты реализации программы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Снижение рисков причинения вреда охраняемым законом ценностям;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Увеличение доли законопослушных подконтрольных субъектов Повышение прозрачности деятельности органов муниципального контроля;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Уменьшение административной нагрузки на подконтрольных субъектов;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Повышение уровня правовой грамотности подконтрольных субъектов;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Обеспечение квалифицированной</w:t>
            </w:r>
            <w:r>
              <w:rPr>
                <w:rFonts w:ascii="Arial" w:hAnsi="Arial" w:cs="Arial"/>
                <w:color w:val="auto"/>
              </w:rPr>
              <w:t xml:space="preserve"> профилактической работы должностных лиц органов муниципального контроля; Мотивация подконтрольных субъектов к добросовестному поведению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</w:tbl>
    <w:p>
      <w:pPr>
        <w:pBdr/>
        <w:spacing/>
        <w:ind/>
        <w:jc w:val="both"/>
        <w:rPr>
          <w:rFonts w:ascii="Arial" w:hAnsi="Arial" w:cs="Arial"/>
          <w:color w:val="auto"/>
        </w:rPr>
        <w:sectPr>
          <w:footnotePr/>
          <w:endnotePr/>
          <w:type w:val="nextPage"/>
          <w:pgSz w:h="16840" w:orient="portrait" w:w="11900"/>
          <w:pgMar w:top="360" w:right="360" w:bottom="284" w:left="360" w:header="0" w:footer="3" w:gutter="0"/>
          <w:cols w:num="1" w:sep="0" w:space="720" w:equalWidth="1"/>
        </w:sectPr>
      </w:pP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tbl>
      <w:tblPr>
        <w:tblOverlap w:val="never"/>
        <w:tblW w:w="0" w:type="auto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7"/>
        <w:gridCol w:w="5852"/>
      </w:tblGrid>
      <w:tr>
        <w:trPr>
          <w:trHeight w:val="257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7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Структура программы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5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Раздел 1. Анализ и оценка состояния подконтрольной сферы.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Раздел 2. Цели и задачи профилактической работы. Раздел 3. Программные мероприятия.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Раздел 4. Ресурсное обеспечение программы.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Раздел 5. Механизм реализации программы 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Раздел 6. Оценка эффективности программы.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Раздел.7</w:t>
            </w:r>
            <w:r>
              <w:rPr>
                <w:rFonts w:ascii="Arial" w:hAnsi="Arial" w:cs="Arial"/>
                <w:color w:val="auto"/>
              </w:rPr>
              <w:t xml:space="preserve">. Показатели результативности и эффективности программы профилактики рисков причинения вреда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</w:tbl>
    <w:p>
      <w:pPr>
        <w:pBdr/>
        <w:spacing/>
        <w:ind w:firstLine="426"/>
        <w:jc w:val="both"/>
        <w:rPr>
          <w:rFonts w:ascii="Arial" w:hAnsi="Arial" w:cs="Arial"/>
          <w:b/>
          <w:color w:val="auto"/>
        </w:rPr>
      </w:pPr>
      <w:r/>
      <w:bookmarkStart w:id="1" w:name="bookmark0"/>
      <w:r>
        <w:rPr>
          <w:rFonts w:ascii="Arial" w:hAnsi="Arial" w:cs="Arial"/>
          <w:b/>
          <w:color w:val="auto"/>
        </w:rPr>
      </w:r>
      <w:r>
        <w:rPr>
          <w:rFonts w:ascii="Arial" w:hAnsi="Arial" w:cs="Arial"/>
          <w:b/>
          <w:color w:val="auto"/>
        </w:rPr>
      </w:r>
    </w:p>
    <w:p>
      <w:pPr>
        <w:pBdr/>
        <w:spacing/>
        <w:ind w:firstLine="426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Раздел 1. Анализ и оценка состояния подконтрольной сферы.</w:t>
      </w:r>
      <w:bookmarkEnd w:id="1"/>
      <w:r>
        <w:rPr>
          <w:rFonts w:ascii="Arial" w:hAnsi="Arial" w:cs="Arial"/>
          <w:b/>
          <w:color w:val="auto"/>
        </w:rPr>
      </w:r>
      <w:r>
        <w:rPr>
          <w:rFonts w:ascii="Arial" w:hAnsi="Arial" w:cs="Arial"/>
          <w:b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Предметом муниципального </w:t>
      </w:r>
      <w:r>
        <w:rPr>
          <w:rFonts w:ascii="Arial" w:hAnsi="Arial" w:cs="Arial"/>
          <w:color w:val="auto"/>
        </w:rPr>
        <w:t xml:space="preserve">земельного </w:t>
      </w:r>
      <w:r>
        <w:rPr>
          <w:rFonts w:ascii="Arial" w:hAnsi="Arial" w:cs="Arial"/>
          <w:color w:val="auto"/>
        </w:rPr>
        <w:t xml:space="preserve">контроля является соблюдение юридическим лицом, индивидуальным предпринимателем в процессе осуществления деятельности на территории </w:t>
      </w:r>
      <w:r>
        <w:rPr>
          <w:rFonts w:ascii="Arial" w:hAnsi="Arial" w:cs="Arial"/>
          <w:color w:val="auto"/>
        </w:rPr>
        <w:t xml:space="preserve">Актанышского</w:t>
      </w:r>
      <w:r>
        <w:rPr>
          <w:rFonts w:ascii="Arial" w:hAnsi="Arial" w:cs="Arial"/>
          <w:color w:val="auto"/>
        </w:rPr>
        <w:t xml:space="preserve"> муниципального района совокупности предъявляемых обязательных требований и требований, установленных муниципальными правовыми актами.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Мероприятия по контролю осуществляются в форме плановы</w:t>
      </w:r>
      <w:r>
        <w:rPr>
          <w:rFonts w:ascii="Arial" w:hAnsi="Arial" w:cs="Arial"/>
          <w:color w:val="auto"/>
        </w:rPr>
        <w:t xml:space="preserve">х проверок, проводимых в соответствии с ежегодным планом их проведения, утверждаемым руководителем органа муниципального контроля, а также в форме внеплановых проверок с соблюдением прав и законных интересов организаций и граждан согласно законодательству.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Общее количество юридических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лиц </w:t>
      </w:r>
      <w:r>
        <w:rPr>
          <w:rFonts w:ascii="Arial" w:hAnsi="Arial" w:cs="Arial"/>
          <w:color w:val="auto"/>
        </w:rPr>
        <w:t xml:space="preserve">индивидуальных </w:t>
      </w:r>
      <w:r>
        <w:rPr>
          <w:rFonts w:ascii="Arial" w:hAnsi="Arial" w:cs="Arial"/>
          <w:color w:val="auto"/>
        </w:rPr>
        <w:t xml:space="preserve">предпринимателей, в отношении которых проводились плановые, внеплановые проверки по </w:t>
      </w:r>
      <w:r>
        <w:rPr>
          <w:rFonts w:ascii="Arial" w:hAnsi="Arial" w:cs="Arial"/>
          <w:color w:val="auto"/>
        </w:rPr>
        <w:t xml:space="preserve">Актанышскому</w:t>
      </w:r>
      <w:r>
        <w:rPr>
          <w:rFonts w:ascii="Arial" w:hAnsi="Arial" w:cs="Arial"/>
          <w:color w:val="auto"/>
        </w:rPr>
        <w:t xml:space="preserve"> муниципальному району за истекший период: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tbl>
      <w:tblPr>
        <w:tblOverlap w:val="never"/>
        <w:tblW w:w="0" w:type="auto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6"/>
        <w:gridCol w:w="2098"/>
      </w:tblGrid>
      <w:tr>
        <w:trPr>
          <w:trHeight w:val="34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336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Период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98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Единиц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336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202</w:t>
            </w:r>
            <w:r>
              <w:rPr>
                <w:rFonts w:ascii="Arial" w:hAnsi="Arial" w:cs="Arial"/>
                <w:color w:val="auto"/>
              </w:rPr>
              <w:t xml:space="preserve">2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98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0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336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202</w:t>
            </w:r>
            <w:r>
              <w:rPr>
                <w:rFonts w:ascii="Arial" w:hAnsi="Arial" w:cs="Arial"/>
                <w:color w:val="auto"/>
              </w:rPr>
              <w:t xml:space="preserve">3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98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0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336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202</w:t>
            </w:r>
            <w:r>
              <w:rPr>
                <w:rFonts w:ascii="Arial" w:hAnsi="Arial" w:cs="Arial"/>
                <w:color w:val="auto"/>
              </w:rPr>
              <w:t xml:space="preserve">4</w:t>
            </w:r>
            <w:r>
              <w:rPr>
                <w:rFonts w:ascii="Arial" w:hAnsi="Arial" w:cs="Arial"/>
                <w:color w:val="auto"/>
              </w:rPr>
              <w:t xml:space="preserve"> (1 полугодие)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8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0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</w:tbl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Общее количество юридических лиц, индивидуальных предпринимателей, в ходе проведения проверок, в отношении которых выявлены правонарушения по </w:t>
      </w:r>
      <w:r>
        <w:rPr>
          <w:rFonts w:ascii="Arial" w:hAnsi="Arial" w:cs="Arial"/>
          <w:color w:val="auto"/>
        </w:rPr>
        <w:t xml:space="preserve">Актанышскому</w:t>
      </w:r>
      <w:r>
        <w:rPr>
          <w:rFonts w:ascii="Arial" w:hAnsi="Arial" w:cs="Arial"/>
          <w:color w:val="auto"/>
        </w:rPr>
        <w:t xml:space="preserve"> муниципальному району за истекший период: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tbl>
      <w:tblPr>
        <w:tblOverlap w:val="never"/>
        <w:tblW w:w="0" w:type="auto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2195"/>
      </w:tblGrid>
      <w:tr>
        <w:trPr>
          <w:trHeight w:val="33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412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Период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95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Единиц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412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202</w:t>
            </w:r>
            <w:r>
              <w:rPr>
                <w:rFonts w:ascii="Arial" w:hAnsi="Arial" w:cs="Arial"/>
                <w:color w:val="auto"/>
              </w:rPr>
              <w:t xml:space="preserve">2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95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0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412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202</w:t>
            </w:r>
            <w:r>
              <w:rPr>
                <w:rFonts w:ascii="Arial" w:hAnsi="Arial" w:cs="Arial"/>
                <w:color w:val="auto"/>
              </w:rPr>
              <w:t xml:space="preserve">3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95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0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412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202</w:t>
            </w:r>
            <w:r>
              <w:rPr>
                <w:rFonts w:ascii="Arial" w:hAnsi="Arial" w:cs="Arial"/>
                <w:color w:val="auto"/>
              </w:rPr>
              <w:t xml:space="preserve">4</w:t>
            </w:r>
            <w:r>
              <w:rPr>
                <w:rFonts w:ascii="Arial" w:hAnsi="Arial" w:cs="Arial"/>
                <w:color w:val="auto"/>
              </w:rPr>
              <w:t xml:space="preserve"> (1 полугодие)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5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0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</w:tbl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Общее количество проверок, по итогам которых по фактам выявленных нарушений наложены административные наказания по </w:t>
      </w:r>
      <w:r>
        <w:rPr>
          <w:rFonts w:ascii="Arial" w:hAnsi="Arial" w:cs="Arial"/>
          <w:color w:val="auto"/>
        </w:rPr>
        <w:t xml:space="preserve">Актанышскому</w:t>
      </w:r>
      <w:r>
        <w:rPr>
          <w:rFonts w:ascii="Arial" w:hAnsi="Arial" w:cs="Arial"/>
          <w:color w:val="auto"/>
        </w:rPr>
        <w:t xml:space="preserve"> муниципальному району за истекший период: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tbl>
      <w:tblPr>
        <w:tblOverlap w:val="never"/>
        <w:tblW w:w="0" w:type="auto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1"/>
        <w:gridCol w:w="2453"/>
      </w:tblGrid>
      <w:tr>
        <w:trPr>
          <w:trHeight w:val="33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221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Период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53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Единиц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221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202</w:t>
            </w:r>
            <w:r>
              <w:rPr>
                <w:rFonts w:ascii="Arial" w:hAnsi="Arial" w:cs="Arial"/>
                <w:color w:val="auto"/>
              </w:rPr>
              <w:t xml:space="preserve">2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53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0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221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202</w:t>
            </w:r>
            <w:r>
              <w:rPr>
                <w:rFonts w:ascii="Arial" w:hAnsi="Arial" w:cs="Arial"/>
                <w:color w:val="auto"/>
              </w:rPr>
              <w:t xml:space="preserve">3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53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0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221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202</w:t>
            </w:r>
            <w:r>
              <w:rPr>
                <w:rFonts w:ascii="Arial" w:hAnsi="Arial" w:cs="Arial"/>
                <w:color w:val="auto"/>
              </w:rPr>
              <w:t xml:space="preserve">4</w:t>
            </w:r>
            <w:r>
              <w:rPr>
                <w:rFonts w:ascii="Arial" w:hAnsi="Arial" w:cs="Arial"/>
                <w:color w:val="auto"/>
              </w:rPr>
              <w:t xml:space="preserve"> (1 полугодие)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3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0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</w:tbl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Общая сумма наложенных административных штрафов по </w:t>
      </w:r>
      <w:r>
        <w:rPr>
          <w:rFonts w:ascii="Arial" w:hAnsi="Arial" w:cs="Arial"/>
          <w:color w:val="auto"/>
        </w:rPr>
        <w:t xml:space="preserve">Актанышскому </w:t>
      </w:r>
      <w:r>
        <w:rPr>
          <w:rFonts w:ascii="Arial" w:hAnsi="Arial" w:cs="Arial"/>
          <w:color w:val="auto"/>
        </w:rPr>
        <w:t xml:space="preserve"> муниципальному району за истекший период: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tbl>
      <w:tblPr>
        <w:tblOverlap w:val="never"/>
        <w:tblW w:w="0" w:type="auto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2436"/>
      </w:tblGrid>
      <w:tr>
        <w:trPr>
          <w:trHeight w:val="34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271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Период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36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Тысяч рублей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271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202</w:t>
            </w:r>
            <w:r>
              <w:rPr>
                <w:rFonts w:ascii="Arial" w:hAnsi="Arial" w:cs="Arial"/>
                <w:color w:val="auto"/>
              </w:rPr>
              <w:t xml:space="preserve">2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36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0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271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202</w:t>
            </w:r>
            <w:r>
              <w:rPr>
                <w:rFonts w:ascii="Arial" w:hAnsi="Arial" w:cs="Arial"/>
                <w:color w:val="auto"/>
              </w:rPr>
              <w:t xml:space="preserve">3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36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0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271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202</w:t>
            </w:r>
            <w:r>
              <w:rPr>
                <w:rFonts w:ascii="Arial" w:hAnsi="Arial" w:cs="Arial"/>
                <w:color w:val="auto"/>
              </w:rPr>
              <w:t xml:space="preserve">4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6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0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</w:tbl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Нарушений за период 202</w:t>
      </w:r>
      <w:r>
        <w:rPr>
          <w:rFonts w:ascii="Arial" w:hAnsi="Arial" w:cs="Arial"/>
          <w:color w:val="auto"/>
        </w:rPr>
        <w:t xml:space="preserve">2</w:t>
      </w:r>
      <w:r>
        <w:rPr>
          <w:rFonts w:ascii="Arial" w:hAnsi="Arial" w:cs="Arial"/>
          <w:color w:val="auto"/>
        </w:rPr>
        <w:t xml:space="preserve"> - 1 полугодие 202</w:t>
      </w:r>
      <w:r>
        <w:rPr>
          <w:rFonts w:ascii="Arial" w:hAnsi="Arial" w:cs="Arial"/>
          <w:color w:val="auto"/>
        </w:rPr>
        <w:t xml:space="preserve">4</w:t>
      </w:r>
      <w:r>
        <w:rPr>
          <w:rFonts w:ascii="Arial" w:hAnsi="Arial" w:cs="Arial"/>
          <w:color w:val="auto"/>
        </w:rPr>
        <w:t xml:space="preserve"> года не выявлено.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На состояние подконтрольной сферы может оказывать воздействие улучшение информационного обеспечения подконтрольных субъектов по соблюдению обязательных требований и, как следствие, предупреждение нарушений обязательных требований.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Улучшению ситуации в подконтрольной сфере может способствовать повышение степени информированности руководителей и работников подконтрольных субъектов, а также своевременное принятие мер по соблюдению обязательных требований.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В связи с этим, проводится разъяснительная работа на предмет информирования о существующих требованиях. Информация размещается на сайте </w:t>
      </w:r>
      <w:r>
        <w:rPr>
          <w:rFonts w:ascii="Arial" w:hAnsi="Arial" w:cs="Arial"/>
          <w:color w:val="auto"/>
        </w:rPr>
        <w:t xml:space="preserve">Актанышского</w:t>
      </w:r>
      <w:r>
        <w:rPr>
          <w:rFonts w:ascii="Arial" w:hAnsi="Arial" w:cs="Arial"/>
          <w:color w:val="auto"/>
        </w:rPr>
        <w:t xml:space="preserve"> муниципального района в разделе «Муниципальный контроль» 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/>
      <w:hyperlink r:id="rId11" w:tooltip="(%20https://alkeevskiy.tatarstan.ru/munkontr.htm)" w:history="1">
        <w:r>
          <w:rPr>
            <w:rStyle w:val="842"/>
            <w:rFonts w:ascii="Arial" w:hAnsi="Arial" w:cs="Arial"/>
            <w:color w:val="auto"/>
            <w:u w:val="none"/>
          </w:rPr>
          <w:t xml:space="preserve">( </w:t>
        </w:r>
        <w:r>
          <w:rPr>
            <w:rStyle w:val="842"/>
            <w:rFonts w:ascii="Arial" w:hAnsi="Arial" w:cs="Arial"/>
            <w:color w:val="auto"/>
            <w:u w:val="none"/>
          </w:rPr>
          <w:t xml:space="preserve">https://aktanysh.tatarstan.ru/mun-control.htm</w:t>
        </w:r>
        <w:r>
          <w:rPr>
            <w:rStyle w:val="842"/>
            <w:rFonts w:ascii="Arial" w:hAnsi="Arial" w:cs="Arial"/>
            <w:color w:val="auto"/>
            <w:u w:val="none"/>
          </w:rPr>
          <w:t xml:space="preserve">)</w:t>
        </w:r>
      </w:hyperlink>
      <w:r>
        <w:rPr>
          <w:rFonts w:ascii="Arial" w:hAnsi="Arial" w:cs="Arial"/>
          <w:color w:val="auto"/>
        </w:rPr>
        <w:t xml:space="preserve">.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center"/>
        <w:rPr>
          <w:rFonts w:ascii="Arial" w:hAnsi="Arial" w:cs="Arial"/>
          <w:b/>
          <w:color w:val="auto"/>
        </w:rPr>
      </w:pPr>
      <w:r/>
      <w:bookmarkStart w:id="2" w:name="bookmark1"/>
      <w:r>
        <w:rPr>
          <w:rFonts w:ascii="Arial" w:hAnsi="Arial" w:cs="Arial"/>
          <w:b/>
          <w:color w:val="auto"/>
        </w:rPr>
        <w:t xml:space="preserve">Раздел 2. Цели и задачи профилактической работы.</w:t>
      </w:r>
      <w:bookmarkEnd w:id="2"/>
      <w:r>
        <w:rPr>
          <w:rFonts w:ascii="Arial" w:hAnsi="Arial" w:cs="Arial"/>
          <w:b/>
          <w:color w:val="auto"/>
        </w:rPr>
      </w:r>
      <w:r>
        <w:rPr>
          <w:rFonts w:ascii="Arial" w:hAnsi="Arial" w:cs="Arial"/>
          <w:b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Профилактик</w:t>
      </w:r>
      <w:r>
        <w:rPr>
          <w:rFonts w:ascii="Arial" w:hAnsi="Arial" w:cs="Arial"/>
          <w:color w:val="auto"/>
        </w:rPr>
        <w:t xml:space="preserve">а нарушений обязательных требований законодательства заключается в комплексной реализации органами муниципального контроля мер организационного, информационного, правового, социального и иного характера, направленных на достижение следующих основных целей: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Предотвращение рисков причинения вреда охраняемым законом ценностям;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Предупреждение нарушений обязательных требований (снижение числа нарушений обязательных требований) по видам контроля;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Создание инфраструктуры профилактики рисков причинения вреда охраняемым законом ценностям;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Увеличение доли законопослушных подконтрольных субъектов;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Повышение прозрачности системы контрольно-надзорной деятельности; Снижение уровня ущерба охраняемым законом ц</w:t>
      </w:r>
      <w:r>
        <w:rPr>
          <w:rFonts w:ascii="Arial" w:hAnsi="Arial" w:cs="Arial"/>
          <w:color w:val="auto"/>
        </w:rPr>
        <w:t xml:space="preserve">енностям; 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Иные цели.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Задачи реализации программы профилактики рисков причинения вреда: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Установление и</w:t>
      </w:r>
      <w:r>
        <w:rPr>
          <w:rFonts w:ascii="Arial" w:hAnsi="Arial" w:cs="Arial"/>
          <w:color w:val="auto"/>
        </w:rPr>
        <w:t xml:space="preserve">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Определение перечня видов и сбор статистических данных, необходимых для организации профилактической работы;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Повышение квалификации кадрового состава органов муниципального контроля;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Создание системы консультирования подконтрольных субъектов, в том числе с использованием современных информационно телекоммуникационных технологий.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center"/>
        <w:rPr>
          <w:rFonts w:ascii="Arial" w:hAnsi="Arial" w:cs="Arial"/>
          <w:b/>
          <w:color w:val="auto"/>
        </w:rPr>
      </w:pPr>
      <w:r/>
      <w:bookmarkStart w:id="3" w:name="bookmark2"/>
      <w:r>
        <w:rPr>
          <w:rFonts w:ascii="Arial" w:hAnsi="Arial" w:cs="Arial"/>
          <w:b/>
          <w:color w:val="auto"/>
        </w:rPr>
        <w:t xml:space="preserve">Раздел 3. Программные мероприятия.</w:t>
      </w:r>
      <w:bookmarkEnd w:id="3"/>
      <w:r>
        <w:rPr>
          <w:rFonts w:ascii="Arial" w:hAnsi="Arial" w:cs="Arial"/>
          <w:b/>
          <w:color w:val="auto"/>
        </w:rPr>
      </w:r>
      <w:r>
        <w:rPr>
          <w:rFonts w:ascii="Arial" w:hAnsi="Arial" w:cs="Arial"/>
          <w:b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Программа по профилактике нарушений обязательных требований в рамках Муниципального земельного контроля по </w:t>
      </w:r>
      <w:r>
        <w:rPr>
          <w:rFonts w:ascii="Arial" w:hAnsi="Arial" w:cs="Arial"/>
          <w:color w:val="auto"/>
        </w:rPr>
        <w:t xml:space="preserve">Актанышскому</w:t>
      </w:r>
      <w:r>
        <w:rPr>
          <w:rFonts w:ascii="Arial" w:hAnsi="Arial" w:cs="Arial"/>
          <w:color w:val="auto"/>
        </w:rPr>
        <w:t xml:space="preserve"> муниципальному району </w:t>
      </w:r>
      <w:r>
        <w:rPr>
          <w:rFonts w:ascii="Arial" w:hAnsi="Arial" w:cs="Arial"/>
          <w:color w:val="auto"/>
        </w:rPr>
        <w:t xml:space="preserve">на 2025 год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tbl>
      <w:tblPr>
        <w:tblStyle w:val="841"/>
        <w:tblW w:w="0" w:type="auto"/>
        <w:tblBorders/>
        <w:tblLook w:val="04A0" w:firstRow="1" w:lastRow="0" w:firstColumn="1" w:lastColumn="0" w:noHBand="0" w:noVBand="1"/>
      </w:tblPr>
      <w:tblGrid>
        <w:gridCol w:w="626"/>
        <w:gridCol w:w="4791"/>
        <w:gridCol w:w="1540"/>
        <w:gridCol w:w="2897"/>
      </w:tblGrid>
      <w:tr>
        <w:trPr/>
        <w:tc>
          <w:tcPr>
            <w:tcBorders/>
            <w:tcW w:w="8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№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пп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</w:tc>
        <w:tc>
          <w:tcPr>
            <w:tcBorders/>
            <w:tcW w:w="5387" w:type="dxa"/>
            <w:vAlign w:val="center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Наименование мероприятий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32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Срок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реализации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3872" w:type="dxa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Ответственный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исполнитель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Borders>
              <w:bottom w:val="single" w:color="000000" w:themeColor="text1" w:sz="4" w:space="0"/>
            </w:tcBorders>
            <w:tcW w:w="8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</w:tc>
        <w:tc>
          <w:tcPr>
            <w:tcBorders>
              <w:bottom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Актаныш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ского муниципального района       </w:t>
            </w:r>
            <w:hyperlink r:id="rId12" w:tooltip="(https://alkeevskiy.tatarstan.ru/profilaktika-narusheniy-obyazatelnih-trebovaniy.htm)" w:history="1">
              <w:r>
                <w:rPr>
                  <w:rStyle w:val="842"/>
                  <w:rFonts w:ascii="Arial" w:hAnsi="Arial" w:cs="Arial"/>
                </w:rPr>
                <w:t xml:space="preserve">(</w:t>
              </w:r>
              <w:r>
                <w:rPr>
                  <w:rStyle w:val="842"/>
                  <w:rFonts w:ascii="Arial" w:hAnsi="Arial" w:cs="Arial"/>
                </w:rPr>
                <w:t xml:space="preserve">https://aktanysh.tatarstan.ru/munitsipalniy-zemelniy-kontrol.htm</w:t>
              </w:r>
              <w:r>
                <w:rPr>
                  <w:rStyle w:val="842"/>
                  <w:rFonts w:ascii="Arial" w:hAnsi="Arial" w:cs="Arial"/>
                </w:rPr>
                <w:t xml:space="preserve">)</w:t>
              </w:r>
            </w:hyperlink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для каждог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32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202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387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Председатель ПИЗО, главный специалист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уполномоченные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на территории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Актанышского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муниципального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района на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осуществление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муниципального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земельного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контроля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Borders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Осуществление информирования, консультирования юридических лиц, индивидуальных предпринимателей по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32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387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Обеспечение регулярного (не реже одного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раза в год) обобщения практики осуществления в соответствующей сфере деятельности муниципального контроля. Размещение на официальном сайте Актанышского муниципального района соответствующих обобщений, в том числе с указанием наиболее часто встречающихся сл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учаев нарушений обязательных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требований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ab/>
              <w:t xml:space="preserve">с рекомендациями в отношении мер, которые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ab/>
              <w:t xml:space="preserve">должны приниматься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юридическими лицами,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индивидуальными предпринимателями в целях недопущения таких нарушений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32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387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</w:r>
          </w:p>
        </w:tc>
      </w:tr>
    </w:tbl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4203065</wp:posOffset>
                </wp:positionV>
                <wp:extent cx="3858260" cy="0"/>
                <wp:effectExtent l="0" t="0" r="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58259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251658240;o:allowoverlap:true;o:allowincell:true;mso-position-horizontal-relative:page;margin-left:50.75pt;mso-position-horizontal:absolute;mso-position-vertical-relative:page;margin-top:330.95pt;mso-position-vertical:absolute;width:303.80pt;height:0.00pt;mso-wrap-distance-left:9.00pt;mso-wrap-distance-top:0.00pt;mso-wrap-distance-right:9.00pt;mso-wrap-distance-bottom:0.00pt;visibility:visible;" path="m0,0l100000,100000e" coordsize="100000,100000" fillcolor="#FFFFFF" strokecolor="#000000" strokeweight="0.95pt">
                <v:path textboxrect="0,0,100000,100000"/>
              </v:shape>
            </w:pict>
          </mc:Fallback>
        </mc:AlternateConten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center"/>
        <w:rPr>
          <w:rFonts w:ascii="Arial" w:hAnsi="Arial" w:cs="Arial"/>
          <w:b/>
          <w:color w:val="auto"/>
        </w:rPr>
      </w:pPr>
      <w:r/>
      <w:bookmarkStart w:id="4" w:name="bookmark3"/>
      <w:r>
        <w:rPr>
          <w:rFonts w:ascii="Arial" w:hAnsi="Arial" w:cs="Arial"/>
          <w:b/>
          <w:color w:val="auto"/>
        </w:rPr>
        <w:t xml:space="preserve">Раздел 4. Ресурсное обеспечение программы.</w:t>
      </w:r>
      <w:bookmarkEnd w:id="4"/>
      <w:r>
        <w:rPr>
          <w:rFonts w:ascii="Arial" w:hAnsi="Arial" w:cs="Arial"/>
          <w:b/>
          <w:color w:val="auto"/>
        </w:rPr>
      </w:r>
      <w:r>
        <w:rPr>
          <w:rFonts w:ascii="Arial" w:hAnsi="Arial" w:cs="Arial"/>
          <w:b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Реализация</w:t>
      </w:r>
      <w:r>
        <w:rPr>
          <w:rFonts w:ascii="Arial" w:hAnsi="Arial" w:cs="Arial"/>
          <w:color w:val="auto"/>
        </w:rPr>
        <w:tab/>
        <w:t xml:space="preserve">Программы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осуществляется в рамках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текущего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финансирования деятельности Палаты земельных и имущественных отношений </w:t>
      </w:r>
      <w:r>
        <w:rPr>
          <w:rFonts w:ascii="Arial" w:hAnsi="Arial" w:cs="Arial"/>
          <w:color w:val="auto"/>
        </w:rPr>
        <w:t xml:space="preserve">Актанышского</w:t>
      </w:r>
      <w:r>
        <w:rPr>
          <w:rFonts w:ascii="Arial" w:hAnsi="Arial" w:cs="Arial"/>
          <w:color w:val="auto"/>
        </w:rPr>
        <w:t xml:space="preserve"> муниципального района.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center"/>
        <w:rPr>
          <w:rFonts w:ascii="Arial" w:hAnsi="Arial" w:cs="Arial"/>
          <w:b/>
          <w:color w:val="auto"/>
        </w:rPr>
      </w:pPr>
      <w:r/>
      <w:bookmarkStart w:id="5" w:name="bookmark4"/>
      <w:r>
        <w:rPr>
          <w:rFonts w:ascii="Arial" w:hAnsi="Arial" w:cs="Arial"/>
          <w:b/>
          <w:color w:val="auto"/>
        </w:rPr>
        <w:t xml:space="preserve">Раздел 5. Механизм реализации программы.</w:t>
      </w:r>
      <w:bookmarkEnd w:id="5"/>
      <w:r>
        <w:rPr>
          <w:rFonts w:ascii="Arial" w:hAnsi="Arial" w:cs="Arial"/>
          <w:b/>
          <w:color w:val="auto"/>
        </w:rPr>
      </w:r>
      <w:r>
        <w:rPr>
          <w:rFonts w:ascii="Arial" w:hAnsi="Arial" w:cs="Arial"/>
          <w:b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Координатором Программы является </w:t>
      </w:r>
      <w:r>
        <w:rPr>
          <w:rFonts w:ascii="Arial" w:hAnsi="Arial" w:cs="Arial"/>
          <w:color w:val="auto"/>
        </w:rPr>
        <w:t xml:space="preserve">председатель</w:t>
      </w:r>
      <w:r>
        <w:rPr>
          <w:rFonts w:ascii="Arial" w:hAnsi="Arial" w:cs="Arial"/>
          <w:color w:val="auto"/>
        </w:rPr>
        <w:t xml:space="preserve"> Палаты земельных и имущественных отношений </w:t>
      </w:r>
      <w:r>
        <w:rPr>
          <w:rFonts w:ascii="Arial" w:hAnsi="Arial" w:cs="Arial"/>
          <w:color w:val="auto"/>
        </w:rPr>
        <w:t xml:space="preserve">Актанышского</w:t>
      </w:r>
      <w:r>
        <w:rPr>
          <w:rFonts w:ascii="Arial" w:hAnsi="Arial" w:cs="Arial"/>
          <w:color w:val="auto"/>
        </w:rPr>
        <w:t xml:space="preserve"> муниципального района.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Непосредственными исполнителями Программы являются должностные лица, уполномоченные осуществлять муниципальный контроль на территории </w:t>
      </w:r>
      <w:r>
        <w:rPr>
          <w:rFonts w:ascii="Arial" w:hAnsi="Arial" w:cs="Arial"/>
          <w:color w:val="auto"/>
        </w:rPr>
        <w:t xml:space="preserve">Актанышского </w:t>
      </w:r>
      <w:r>
        <w:rPr>
          <w:rFonts w:ascii="Arial" w:hAnsi="Arial" w:cs="Arial"/>
          <w:color w:val="auto"/>
        </w:rPr>
        <w:t xml:space="preserve"> муниципального района: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Муниципальный земельный контроль - Палата земельных и имущественных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отношений</w:t>
      </w:r>
      <w:r>
        <w:rPr>
          <w:rFonts w:ascii="Arial" w:hAnsi="Arial" w:cs="Arial"/>
          <w:color w:val="auto"/>
        </w:rPr>
        <w:t xml:space="preserve"> Актанышского </w:t>
      </w:r>
      <w:r>
        <w:rPr>
          <w:rFonts w:ascii="Arial" w:hAnsi="Arial" w:cs="Arial"/>
          <w:color w:val="auto"/>
        </w:rPr>
        <w:t xml:space="preserve">муниципального района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Республики Татарстан.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Ответственность за реализацию мероприятий Программы несут должностные лица, уполномоченные осуществлять муниципальный контроль на территории </w:t>
      </w:r>
      <w:r>
        <w:rPr>
          <w:rFonts w:ascii="Arial" w:hAnsi="Arial" w:cs="Arial"/>
          <w:color w:val="auto"/>
        </w:rPr>
        <w:t xml:space="preserve">Актанышского </w:t>
      </w:r>
      <w:r>
        <w:rPr>
          <w:rFonts w:ascii="Arial" w:hAnsi="Arial" w:cs="Arial"/>
          <w:color w:val="auto"/>
        </w:rPr>
        <w:t xml:space="preserve"> муниципального района.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В срок до 1 февраля года, следующего за отчетным, должностные лица уполномоченные осуществлять муниципальный контроль на территории </w:t>
      </w:r>
      <w:r>
        <w:rPr>
          <w:rFonts w:ascii="Arial" w:hAnsi="Arial" w:cs="Arial"/>
          <w:color w:val="auto"/>
        </w:rPr>
        <w:t xml:space="preserve">Актанышского</w:t>
      </w:r>
      <w:r>
        <w:rPr>
          <w:rFonts w:ascii="Arial" w:hAnsi="Arial" w:cs="Arial"/>
          <w:color w:val="auto"/>
        </w:rPr>
        <w:t xml:space="preserve"> муниципального района предоставляют отчет об итогах профилактической работы за год.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Для достижения целей и результатов профилактической работы, в том числе в целях реализации и своевременного корректирования Программы, координатор проводит мониторинг и оценку уровня реализации программных мероприятий.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center"/>
        <w:rPr>
          <w:rFonts w:ascii="Arial" w:hAnsi="Arial" w:cs="Arial"/>
          <w:b/>
          <w:color w:val="auto"/>
        </w:rPr>
      </w:pPr>
      <w:r/>
      <w:bookmarkStart w:id="6" w:name="bookmark5"/>
      <w:r>
        <w:rPr>
          <w:rFonts w:ascii="Arial" w:hAnsi="Arial" w:cs="Arial"/>
          <w:b/>
          <w:color w:val="auto"/>
        </w:rPr>
        <w:t xml:space="preserve">Раздел 6. Оценка эффективности программы.</w:t>
      </w:r>
      <w:bookmarkEnd w:id="6"/>
      <w:r>
        <w:rPr>
          <w:rFonts w:ascii="Arial" w:hAnsi="Arial" w:cs="Arial"/>
          <w:b/>
          <w:color w:val="auto"/>
        </w:rPr>
      </w:r>
      <w:r>
        <w:rPr>
          <w:rFonts w:ascii="Arial" w:hAnsi="Arial" w:cs="Arial"/>
          <w:b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Основным конечным</w:t>
      </w:r>
      <w:r>
        <w:rPr>
          <w:rFonts w:ascii="Arial" w:hAnsi="Arial" w:cs="Arial"/>
          <w:color w:val="auto"/>
        </w:rPr>
        <w:t xml:space="preserve"> результатом реализации Программы профилактики рисков причинения вреда охраняемым законом ценностям является снижение количества выявленных в период с января 2025 г. по декабрь 2025 г. нарушений требований законодательства по видам муниципального контроля.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Оценка эффективности и результативности профилактических мероприятий осуществляется по следующим индикативным показателям: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количество проведенных профилактических мероприятий, ед.;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количество подконтрольных субъектов, в отношении которых проведены профилактические мероприятия, ед.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tbl>
      <w:tblPr>
        <w:tblpPr w:horzAnchor="margin" w:tblpXSpec="left" w:vertAnchor="text" w:tblpY="452" w:leftFromText="180" w:topFromText="0" w:rightFromText="180" w:bottomFromText="0"/>
        <w:tblOverlap w:val="never"/>
        <w:tblW w:w="9791" w:type="dxa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"/>
        <w:gridCol w:w="6278"/>
        <w:gridCol w:w="2551"/>
      </w:tblGrid>
      <w:tr>
        <w:trPr>
          <w:trHeight w:val="92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2" w:type="dxa"/>
            <w:vAlign w:val="center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ab/>
              <w:t xml:space="preserve">№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п.п.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27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Наименование мероприятия на 2025 год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Кол-во, ед.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rPr>
          <w:trHeight w:val="7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2" w:type="dxa"/>
            <w:vAlign w:val="center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6278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Количество проведенных профилактических мероприятий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1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не менее прошлого года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  <w:tr>
        <w:trPr>
          <w:trHeight w:val="91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62" w:type="dxa"/>
            <w:vAlign w:val="center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278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Количество подконтрольных субъектов, в отношении которых проведены профилактические мероприятия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bottom"/>
            <w:textDirection w:val="lrTb"/>
            <w:noWrap w:val="false"/>
          </w:tcPr>
          <w:p>
            <w:pPr>
              <w:pBdr/>
              <w:spacing/>
              <w:ind w:firstLine="426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не менее прошлого года</w:t>
            </w:r>
            <w:r>
              <w:rPr>
                <w:rFonts w:ascii="Arial" w:hAnsi="Arial" w:cs="Arial"/>
                <w:color w:val="auto"/>
              </w:rPr>
            </w:r>
            <w:r>
              <w:rPr>
                <w:rFonts w:ascii="Arial" w:hAnsi="Arial" w:cs="Arial"/>
                <w:color w:val="auto"/>
              </w:rPr>
            </w:r>
          </w:p>
        </w:tc>
      </w:tr>
    </w:tbl>
    <w:p>
      <w:pPr>
        <w:pBdr/>
        <w:spacing/>
        <w:ind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Раздел </w:t>
      </w:r>
      <w:r>
        <w:rPr>
          <w:rFonts w:ascii="Arial" w:hAnsi="Arial" w:cs="Arial"/>
          <w:b/>
          <w:color w:val="auto"/>
        </w:rPr>
        <w:t xml:space="preserve">7</w:t>
      </w:r>
      <w:r>
        <w:rPr>
          <w:rFonts w:ascii="Arial" w:hAnsi="Arial" w:cs="Arial"/>
          <w:b/>
          <w:color w:val="auto"/>
        </w:rPr>
        <w:t xml:space="preserve">.Показатели результативности и эффективности программы </w:t>
      </w:r>
      <w:r>
        <w:rPr>
          <w:rFonts w:ascii="Arial" w:hAnsi="Arial" w:cs="Arial"/>
          <w:b/>
          <w:color w:val="auto"/>
        </w:rPr>
        <w:t xml:space="preserve">профи</w:t>
      </w:r>
      <w:r>
        <w:rPr>
          <w:rFonts w:ascii="Arial" w:hAnsi="Arial" w:cs="Arial"/>
          <w:b/>
          <w:color w:val="auto"/>
        </w:rPr>
        <w:t xml:space="preserve">лактики рисков причинения вреда</w: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tabs>
          <w:tab w:val="left" w:leader="none" w:pos="1134"/>
        </w:tabs>
        <w:spacing/>
        <w:ind w:left="-142"/>
        <w:contextualSpacing w:val="true"/>
        <w:jc w:val="both"/>
        <w:rPr>
          <w:rFonts w:ascii="Arial" w:hAnsi="Arial" w:eastAsia="Times New Roman" w:cs="Arial"/>
          <w:b/>
          <w:color w:val="auto"/>
        </w:rPr>
      </w:pPr>
      <w:r>
        <w:rPr>
          <w:rFonts w:ascii="Arial" w:hAnsi="Arial" w:eastAsia="Times New Roman" w:cs="Arial"/>
          <w:b/>
          <w:color w:val="auto"/>
        </w:rPr>
      </w:r>
      <w:r>
        <w:rPr>
          <w:rFonts w:ascii="Arial" w:hAnsi="Arial" w:eastAsia="Times New Roman" w:cs="Arial"/>
          <w:b/>
          <w:color w:val="auto"/>
        </w:rPr>
      </w:r>
      <w:r>
        <w:rPr>
          <w:rFonts w:ascii="Arial" w:hAnsi="Arial" w:eastAsia="Times New Roman" w:cs="Arial"/>
          <w:b/>
          <w:color w:val="auto"/>
        </w:rPr>
      </w:r>
    </w:p>
    <w:p>
      <w:pPr>
        <w:pBdr/>
        <w:tabs>
          <w:tab w:val="left" w:leader="none" w:pos="1134"/>
        </w:tabs>
        <w:spacing/>
        <w:ind w:left="-142"/>
        <w:contextualSpacing w:val="true"/>
        <w:jc w:val="both"/>
        <w:rPr>
          <w:rFonts w:ascii="Arial" w:hAnsi="Arial" w:eastAsia="Times New Roman" w:cs="Arial"/>
          <w:b/>
          <w:color w:val="auto"/>
        </w:rPr>
      </w:pPr>
      <w:r>
        <w:rPr>
          <w:rFonts w:ascii="Arial" w:hAnsi="Arial" w:eastAsia="Times New Roman" w:cs="Arial"/>
          <w:b/>
          <w:color w:val="auto"/>
        </w:rPr>
        <w:t xml:space="preserve">Ключевые показатели и индикативные показатели муниципального земельного контроля</w:t>
      </w:r>
      <w:r>
        <w:rPr>
          <w:rFonts w:ascii="Arial" w:hAnsi="Arial" w:eastAsia="Times New Roman" w:cs="Arial"/>
          <w:b/>
          <w:color w:val="auto"/>
        </w:rPr>
      </w:r>
      <w:r>
        <w:rPr>
          <w:rFonts w:ascii="Arial" w:hAnsi="Arial" w:eastAsia="Times New Roman" w:cs="Arial"/>
          <w:b/>
          <w:color w:val="auto"/>
        </w:rPr>
      </w:r>
    </w:p>
    <w:p>
      <w:pPr>
        <w:pBdr/>
        <w:tabs>
          <w:tab w:val="left" w:leader="none" w:pos="1134"/>
        </w:tabs>
        <w:spacing/>
        <w:ind w:left="-142"/>
        <w:contextualSpacing w:val="true"/>
        <w:jc w:val="both"/>
        <w:rPr>
          <w:rFonts w:ascii="Arial" w:hAnsi="Arial" w:eastAsia="Times New Roman" w:cs="Arial"/>
          <w:b/>
          <w:color w:val="auto"/>
        </w:rPr>
      </w:pPr>
      <w:r>
        <w:rPr>
          <w:rFonts w:ascii="Arial" w:hAnsi="Arial" w:eastAsia="Times New Roman" w:cs="Arial"/>
          <w:b/>
          <w:color w:val="auto"/>
        </w:rPr>
      </w:r>
      <w:r>
        <w:rPr>
          <w:rFonts w:ascii="Arial" w:hAnsi="Arial" w:eastAsia="Times New Roman" w:cs="Arial"/>
          <w:b/>
          <w:color w:val="auto"/>
        </w:rPr>
      </w:r>
      <w:r>
        <w:rPr>
          <w:rFonts w:ascii="Arial" w:hAnsi="Arial" w:eastAsia="Times New Roman" w:cs="Arial"/>
          <w:b/>
          <w:color w:val="auto"/>
        </w:rPr>
      </w:r>
    </w:p>
    <w:tbl>
      <w:tblPr>
        <w:tblW w:w="102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55"/>
        <w:gridCol w:w="2551"/>
      </w:tblGrid>
      <w:tr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5" w:type="dxa"/>
            <w:textDirection w:val="lrTb"/>
            <w:noWrap w:val="false"/>
          </w:tcPr>
          <w:p>
            <w:pPr>
              <w:pBdr/>
              <w:spacing/>
              <w:ind w:hanging="113"/>
              <w:jc w:val="both"/>
              <w:rPr>
                <w:rFonts w:ascii="Arial" w:hAnsi="Arial" w:eastAsia="Times New Roman" w:cs="Arial"/>
                <w:b/>
                <w:color w:val="auto"/>
              </w:rPr>
            </w:pPr>
            <w:r>
              <w:rPr>
                <w:rFonts w:ascii="Arial" w:hAnsi="Arial" w:eastAsia="Times New Roman" w:cs="Arial"/>
                <w:b/>
                <w:color w:val="auto"/>
              </w:rPr>
              <w:t xml:space="preserve">Ключевые показатели</w:t>
            </w:r>
            <w:r>
              <w:rPr>
                <w:rFonts w:ascii="Arial" w:hAnsi="Arial" w:eastAsia="Times New Roman" w:cs="Arial"/>
                <w:b/>
                <w:color w:val="auto"/>
              </w:rPr>
            </w:r>
            <w:r>
              <w:rPr>
                <w:rFonts w:ascii="Arial" w:hAnsi="Arial" w:eastAsia="Times New Roman" w:cs="Arial"/>
                <w:b/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Bdr/>
              <w:spacing/>
              <w:ind w:hanging="113" w:left="-142"/>
              <w:jc w:val="center"/>
              <w:rPr>
                <w:rFonts w:ascii="Arial" w:hAnsi="Arial" w:eastAsia="Times New Roman" w:cs="Arial"/>
                <w:b/>
                <w:color w:val="auto"/>
              </w:rPr>
            </w:pPr>
            <w:r>
              <w:rPr>
                <w:rFonts w:ascii="Arial" w:hAnsi="Arial" w:eastAsia="Times New Roman" w:cs="Arial"/>
                <w:b/>
                <w:color w:val="auto"/>
              </w:rPr>
              <w:t xml:space="preserve">Целевые значения</w:t>
            </w:r>
            <w:r>
              <w:rPr>
                <w:rFonts w:ascii="Arial" w:hAnsi="Arial" w:eastAsia="Times New Roman" w:cs="Arial"/>
                <w:b/>
                <w:color w:val="auto"/>
              </w:rPr>
            </w:r>
            <w:r>
              <w:rPr>
                <w:rFonts w:ascii="Arial" w:hAnsi="Arial" w:eastAsia="Times New Roman" w:cs="Arial"/>
                <w:b/>
                <w:color w:val="auto"/>
              </w:rPr>
            </w:r>
          </w:p>
        </w:tc>
      </w:tr>
      <w:tr>
        <w:trPr>
          <w:trHeight w:val="1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5" w:type="dxa"/>
            <w:textDirection w:val="lrTb"/>
            <w:noWrap w:val="false"/>
          </w:tcPr>
          <w:p>
            <w:pPr>
              <w:pBdr/>
              <w:spacing/>
              <w:ind w:firstLine="221" w:left="176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Процент устраненных нарушений из числа выявленных нарушений земельного законодательства 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Bdr/>
              <w:spacing/>
              <w:ind w:firstLine="33"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70%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</w:tr>
      <w:tr>
        <w:trPr>
          <w:trHeight w:val="1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5" w:type="dxa"/>
            <w:textDirection w:val="lrTb"/>
            <w:noWrap w:val="false"/>
          </w:tcPr>
          <w:p>
            <w:pPr>
              <w:pBdr/>
              <w:spacing/>
              <w:ind w:firstLine="221" w:left="176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Процент выполнения плана проведения плановых контрольных мероприятий на очередной календарный год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Bdr/>
              <w:spacing/>
              <w:ind w:firstLine="33"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100%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</w:tr>
      <w:tr>
        <w:trPr>
          <w:trHeight w:val="1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5" w:type="dxa"/>
            <w:textDirection w:val="lrTb"/>
            <w:noWrap w:val="false"/>
          </w:tcPr>
          <w:p>
            <w:pPr>
              <w:pBdr/>
              <w:spacing/>
              <w:ind w:firstLine="221" w:left="176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 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Bdr/>
              <w:spacing/>
              <w:ind w:firstLine="33"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0%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</w:tr>
      <w:tr>
        <w:trPr>
          <w:trHeight w:val="1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5" w:type="dxa"/>
            <w:textDirection w:val="lrTb"/>
            <w:noWrap w:val="false"/>
          </w:tcPr>
          <w:p>
            <w:pPr>
              <w:pBdr/>
              <w:spacing/>
              <w:ind w:firstLine="221" w:left="176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Процент отмененных результатов контрольных мероприятий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Bdr/>
              <w:spacing/>
              <w:ind w:firstLine="33"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0%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</w:tr>
      <w:tr>
        <w:trPr>
          <w:trHeight w:val="1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5" w:type="dxa"/>
            <w:textDirection w:val="lrTb"/>
            <w:noWrap w:val="false"/>
          </w:tcPr>
          <w:p>
            <w:pPr>
              <w:pBdr/>
              <w:spacing/>
              <w:ind w:firstLine="221" w:left="176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Процент результативных контрольных мероприятий, по которым не были приняты соответствующие меры административного воздействия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Bdr/>
              <w:spacing/>
              <w:ind w:firstLine="33"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5%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</w:tr>
      <w:tr>
        <w:trPr>
          <w:trHeight w:val="1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5" w:type="dxa"/>
            <w:textDirection w:val="lrTb"/>
            <w:noWrap w:val="false"/>
          </w:tcPr>
          <w:p>
            <w:pPr>
              <w:pBdr/>
              <w:spacing/>
              <w:ind w:firstLine="221" w:left="176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Процент внесенных судебных решений </w:t>
            </w:r>
            <w:r>
              <w:rPr>
                <w:rFonts w:ascii="Arial" w:hAnsi="Arial" w:eastAsia="Times New Roman" w:cs="Arial"/>
                <w:color w:val="auto"/>
              </w:rPr>
              <w:br/>
              <w:t xml:space="preserve">о назначении административного наказания </w:t>
            </w:r>
            <w:r>
              <w:rPr>
                <w:rFonts w:ascii="Arial" w:hAnsi="Arial" w:eastAsia="Times New Roman" w:cs="Arial"/>
                <w:color w:val="auto"/>
              </w:rPr>
              <w:br/>
              <w:t xml:space="preserve">по материалам органа муниципального контроля 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Bdr/>
              <w:spacing/>
              <w:ind w:firstLine="33"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95%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5" w:type="dxa"/>
            <w:textDirection w:val="lrTb"/>
            <w:noWrap w:val="false"/>
          </w:tcPr>
          <w:p>
            <w:pPr>
              <w:pBdr/>
              <w:spacing/>
              <w:ind w:firstLine="221" w:left="176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Bdr/>
              <w:spacing/>
              <w:ind w:firstLine="33"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0%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</w:tr>
    </w:tbl>
    <w:p>
      <w:pPr>
        <w:pBdr/>
        <w:spacing/>
        <w:ind w:left="-142"/>
        <w:jc w:val="both"/>
        <w:rPr>
          <w:rFonts w:ascii="Arial" w:hAnsi="Arial" w:eastAsia="Times New Roman" w:cs="Arial"/>
          <w:color w:val="auto"/>
        </w:rPr>
      </w:pPr>
      <w:r>
        <w:rPr>
          <w:rFonts w:ascii="Arial" w:hAnsi="Arial" w:eastAsia="Times New Roman" w:cs="Arial"/>
          <w:color w:val="auto"/>
        </w:rPr>
      </w:r>
      <w:r>
        <w:rPr>
          <w:rFonts w:ascii="Arial" w:hAnsi="Arial" w:eastAsia="Times New Roman" w:cs="Arial"/>
          <w:color w:val="auto"/>
        </w:rPr>
      </w:r>
      <w:r>
        <w:rPr>
          <w:rFonts w:ascii="Arial" w:hAnsi="Arial" w:eastAsia="Times New Roman" w:cs="Arial"/>
          <w:color w:val="auto"/>
        </w:rPr>
      </w:r>
    </w:p>
    <w:tbl>
      <w:tblPr>
        <w:tblW w:w="0" w:type="auto"/>
        <w:tblBorders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232"/>
        <w:gridCol w:w="177"/>
        <w:gridCol w:w="1560"/>
        <w:gridCol w:w="3261"/>
        <w:gridCol w:w="141"/>
        <w:gridCol w:w="709"/>
        <w:gridCol w:w="164"/>
        <w:gridCol w:w="1254"/>
      </w:tblGrid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6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b/>
                <w:color w:val="auto"/>
              </w:rPr>
            </w:pPr>
            <w:r>
              <w:rPr>
                <w:rFonts w:ascii="Arial" w:hAnsi="Arial" w:eastAsia="Times New Roman" w:cs="Arial"/>
                <w:b/>
                <w:color w:val="auto"/>
              </w:rPr>
              <w:t xml:space="preserve">1.</w:t>
            </w:r>
            <w:r>
              <w:rPr>
                <w:rFonts w:ascii="Arial" w:hAnsi="Arial" w:eastAsia="Times New Roman" w:cs="Arial"/>
                <w:b/>
                <w:color w:val="auto"/>
              </w:rPr>
            </w:r>
            <w:r>
              <w:rPr>
                <w:rFonts w:ascii="Arial" w:hAnsi="Arial" w:eastAsia="Times New Roman" w:cs="Arial"/>
                <w:b/>
                <w:color w:val="auto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498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b/>
                <w:color w:val="auto"/>
              </w:rPr>
            </w:pPr>
            <w:r>
              <w:rPr>
                <w:rFonts w:ascii="Arial" w:hAnsi="Arial" w:eastAsia="Times New Roman" w:cs="Arial"/>
                <w:b/>
                <w:color w:val="auto"/>
              </w:rPr>
              <w:t xml:space="preserve">Индикативные показатели, характеризующие параметры </w:t>
            </w:r>
            <w:r>
              <w:rPr>
                <w:rFonts w:ascii="Arial" w:hAnsi="Arial" w:eastAsia="Times New Roman" w:cs="Arial"/>
                <w:b/>
                <w:color w:val="auto"/>
              </w:rPr>
            </w:r>
            <w:r>
              <w:rPr>
                <w:rFonts w:ascii="Arial" w:hAnsi="Arial" w:eastAsia="Times New Roman" w:cs="Arial"/>
                <w:b/>
                <w:color w:val="auto"/>
              </w:rPr>
            </w:r>
          </w:p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b/>
                <w:color w:val="auto"/>
              </w:rPr>
            </w:pPr>
            <w:r>
              <w:rPr>
                <w:rFonts w:ascii="Arial" w:hAnsi="Arial" w:eastAsia="Times New Roman" w:cs="Arial"/>
                <w:b/>
                <w:color w:val="auto"/>
              </w:rPr>
              <w:t xml:space="preserve">проведенных мероприятий</w:t>
            </w:r>
            <w:r>
              <w:rPr>
                <w:rFonts w:ascii="Arial" w:hAnsi="Arial" w:eastAsia="Times New Roman" w:cs="Arial"/>
                <w:b/>
                <w:color w:val="auto"/>
              </w:rPr>
            </w:r>
            <w:r>
              <w:rPr>
                <w:rFonts w:ascii="Arial" w:hAnsi="Arial" w:eastAsia="Times New Roman" w:cs="Arial"/>
                <w:b/>
                <w:color w:val="auto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6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1.1.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23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Выполняемость плановых (рейдовых) заданий (осмотров)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37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Врз = (РЗф / РЗп) x 100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1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Врз - выполняемость плановых (рейдовых) заданий (осмотров) %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РЗф -количество проведенных плановых (рейдовых) заданий (осмотров) (ед.)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РЗп - количество утвержденных плановых (рейдовых) заданий (осмотров) (ед.)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100%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Утвержденные плановые (рейдовые) задания (осмотры)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6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1.2.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23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Выполняемость внеплановых проверок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37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Ввн = (Рф / Рп) x 100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1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Ввн - выполняемость внеплановых проверок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Рф - количество проведенных внеплановых проверок (ед.)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Рп - количество распоряжений на проведение внеплановых проверок (ед.)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100%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Письма и жалобы, поступившие в Контрольный орган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</w:tr>
      <w:tr>
        <w:trPr>
          <w:trHeight w:val="2546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6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1.3.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232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Доля проверок, на результаты которых поданы жалобы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37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Ж x 100 / Пф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1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Ж - количество жалоб (ед.)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Пф - количество проведенных проверок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0%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  <w:lang w:val="tt-RU"/>
              </w:rPr>
            </w:pPr>
            <w:r>
              <w:rPr>
                <w:rFonts w:ascii="Arial" w:hAnsi="Arial" w:eastAsia="Times New Roman" w:cs="Arial"/>
                <w:color w:val="auto"/>
                <w:lang w:val="tt-RU"/>
              </w:rPr>
            </w:r>
            <w:r>
              <w:rPr>
                <w:rFonts w:ascii="Arial" w:hAnsi="Arial" w:eastAsia="Times New Roman" w:cs="Arial"/>
                <w:color w:val="auto"/>
                <w:lang w:val="tt-RU"/>
              </w:rPr>
            </w:r>
            <w:r>
              <w:rPr>
                <w:rFonts w:ascii="Arial" w:hAnsi="Arial" w:eastAsia="Times New Roman" w:cs="Arial"/>
                <w:color w:val="auto"/>
                <w:lang w:val="tt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6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1.4.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232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Доля проверок, результаты которых были признаны недействительными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37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Пн x 100 / Пф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1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Пн - количество проверок, признанных недействительными (ед.)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Пф - количество проведенных проверок (ед.)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0%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6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1.5.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232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Доля внеплановых проверок, которые не удалось провести в связи с отсутствием собственника и т.д.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37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По x 100 / Пф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1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По - проверки, не проведенные по причине отсутствия проверяемого лица (ед.)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Пф - количество проведенных проверок (ед.)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30%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6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1.6.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232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37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Кзо х 100 / Кпз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1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Кзо - количество заявлений, по которым пришел отказ в согласовании (ед.)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Кпз - количество поданных на согласование заявлений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10%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6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1.7.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232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Доля проверок, по результатам которых материалы направлены в уполномоченные для принятия решений органы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37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Кнм х 100 / Квн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1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К нм - количество материалов, направленных в уполномоченные органы (ед.)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Квн - количество выявленных нарушений (ед.)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100%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6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1.8.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232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Количество проведенных профилактических мероприятий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37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1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Шт.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6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b/>
                <w:color w:val="auto"/>
              </w:rPr>
            </w:pPr>
            <w:r>
              <w:rPr>
                <w:rFonts w:ascii="Arial" w:hAnsi="Arial" w:eastAsia="Times New Roman" w:cs="Arial"/>
                <w:b/>
                <w:color w:val="auto"/>
              </w:rPr>
              <w:t xml:space="preserve">2.</w:t>
            </w:r>
            <w:r>
              <w:rPr>
                <w:rFonts w:ascii="Arial" w:hAnsi="Arial" w:eastAsia="Times New Roman" w:cs="Arial"/>
                <w:b/>
                <w:color w:val="auto"/>
              </w:rPr>
            </w:r>
            <w:r>
              <w:rPr>
                <w:rFonts w:ascii="Arial" w:hAnsi="Arial" w:eastAsia="Times New Roman" w:cs="Arial"/>
                <w:b/>
                <w:color w:val="auto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498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b/>
                <w:color w:val="auto"/>
              </w:rPr>
            </w:pPr>
            <w:r>
              <w:rPr>
                <w:rFonts w:ascii="Arial" w:hAnsi="Arial" w:eastAsia="Times New Roman" w:cs="Arial"/>
                <w:b/>
                <w:color w:val="auto"/>
              </w:rPr>
              <w:t xml:space="preserve">Индикативные показатели, характеризующие объем задействованных трудовых ресурсов</w:t>
            </w:r>
            <w:r>
              <w:rPr>
                <w:rFonts w:ascii="Arial" w:hAnsi="Arial" w:eastAsia="Times New Roman" w:cs="Arial"/>
                <w:b/>
                <w:color w:val="auto"/>
              </w:rPr>
            </w:r>
            <w:r>
              <w:rPr>
                <w:rFonts w:ascii="Arial" w:hAnsi="Arial" w:eastAsia="Times New Roman" w:cs="Arial"/>
                <w:b/>
                <w:color w:val="auto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6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2.1.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Количество штатных единиц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73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Чел.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54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16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2.2.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Нагрузка контрольных </w:t>
            </w:r>
            <w:r>
              <w:rPr>
                <w:rFonts w:ascii="Arial" w:hAnsi="Arial" w:eastAsia="Times New Roman" w:cs="Arial"/>
                <w:color w:val="auto"/>
              </w:rPr>
              <w:t xml:space="preserve">мероприятий на работников органа муниципального контроля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Км / Кр= Нк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402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Км - количество контрольных мероприятий </w:t>
            </w:r>
            <w:r>
              <w:rPr>
                <w:rFonts w:ascii="Arial" w:hAnsi="Arial" w:eastAsia="Times New Roman" w:cs="Arial"/>
                <w:color w:val="auto"/>
              </w:rPr>
              <w:t xml:space="preserve">(ед.)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Кр - количество работников органа муниципального контроля (ед.)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Нк - нагрузка на 1 работника (ед.)</w:t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73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54" w:type="dxa"/>
            <w:textDirection w:val="lrTb"/>
            <w:noWrap w:val="false"/>
          </w:tcPr>
          <w:p>
            <w:pPr>
              <w:pBdr/>
              <w:spacing/>
              <w:ind w:left="-142"/>
              <w:jc w:val="both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  <w:r>
              <w:rPr>
                <w:rFonts w:ascii="Arial" w:hAnsi="Arial" w:eastAsia="Times New Roman" w:cs="Arial"/>
                <w:color w:val="auto"/>
              </w:rPr>
            </w:r>
          </w:p>
        </w:tc>
      </w:tr>
    </w:tbl>
    <w:p>
      <w:pPr>
        <w:pBdr/>
        <w:spacing/>
        <w:ind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p>
      <w:pPr>
        <w:pBdr/>
        <w:spacing/>
        <w:ind w:firstLine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</w:r>
    </w:p>
    <w:sectPr>
      <w:footnotePr/>
      <w:endnotePr/>
      <w:type w:val="nextPage"/>
      <w:pgSz w:h="16838" w:orient="portrait" w:w="11906"/>
      <w:pgMar w:top="1134" w:right="850" w:bottom="1134" w:left="1418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3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2"/>
    <w:next w:val="832"/>
    <w:link w:val="65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3"/>
    <w:link w:val="65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832"/>
    <w:next w:val="832"/>
    <w:link w:val="66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3"/>
    <w:link w:val="66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2">
    <w:name w:val="Heading 3"/>
    <w:basedOn w:val="832"/>
    <w:next w:val="832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3"/>
    <w:link w:val="66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832"/>
    <w:next w:val="832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3"/>
    <w:link w:val="66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2"/>
    <w:next w:val="832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3"/>
    <w:link w:val="66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2"/>
    <w:next w:val="832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3"/>
    <w:link w:val="66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2"/>
    <w:next w:val="832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3"/>
    <w:link w:val="67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2"/>
    <w:next w:val="832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3"/>
    <w:link w:val="67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2"/>
    <w:next w:val="832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3"/>
    <w:link w:val="67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2"/>
    <w:uiPriority w:val="34"/>
    <w:qFormat/>
    <w:pPr>
      <w:pBdr/>
      <w:spacing/>
      <w:ind w:left="720"/>
      <w:contextualSpacing w:val="true"/>
    </w:pPr>
  </w:style>
  <w:style w:type="paragraph" w:styleId="677">
    <w:name w:val="No Spacing"/>
    <w:uiPriority w:val="1"/>
    <w:qFormat/>
    <w:pPr>
      <w:pBdr/>
      <w:spacing w:after="0" w:before="0" w:line="240" w:lineRule="auto"/>
      <w:ind/>
    </w:pPr>
  </w:style>
  <w:style w:type="paragraph" w:styleId="678">
    <w:name w:val="Title"/>
    <w:basedOn w:val="832"/>
    <w:next w:val="832"/>
    <w:link w:val="67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9">
    <w:name w:val="Title Char"/>
    <w:basedOn w:val="833"/>
    <w:link w:val="678"/>
    <w:uiPriority w:val="10"/>
    <w:pPr>
      <w:pBdr/>
      <w:spacing/>
      <w:ind/>
    </w:pPr>
    <w:rPr>
      <w:sz w:val="48"/>
      <w:szCs w:val="48"/>
    </w:rPr>
  </w:style>
  <w:style w:type="paragraph" w:styleId="680">
    <w:name w:val="Subtitle"/>
    <w:basedOn w:val="832"/>
    <w:next w:val="832"/>
    <w:link w:val="68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81">
    <w:name w:val="Subtitle Char"/>
    <w:basedOn w:val="833"/>
    <w:link w:val="680"/>
    <w:uiPriority w:val="11"/>
    <w:pPr>
      <w:pBdr/>
      <w:spacing/>
      <w:ind/>
    </w:pPr>
    <w:rPr>
      <w:sz w:val="24"/>
      <w:szCs w:val="24"/>
    </w:rPr>
  </w:style>
  <w:style w:type="paragraph" w:styleId="682">
    <w:name w:val="Quote"/>
    <w:basedOn w:val="832"/>
    <w:next w:val="832"/>
    <w:link w:val="683"/>
    <w:uiPriority w:val="29"/>
    <w:qFormat/>
    <w:pPr>
      <w:pBdr/>
      <w:spacing/>
      <w:ind w:right="720" w:left="720"/>
    </w:pPr>
    <w:rPr>
      <w:i/>
    </w:rPr>
  </w:style>
  <w:style w:type="character" w:styleId="683">
    <w:name w:val="Quote Char"/>
    <w:link w:val="682"/>
    <w:uiPriority w:val="29"/>
    <w:pPr>
      <w:pBdr/>
      <w:spacing/>
      <w:ind/>
    </w:pPr>
    <w:rPr>
      <w:i/>
    </w:rPr>
  </w:style>
  <w:style w:type="paragraph" w:styleId="684">
    <w:name w:val="Intense Quote"/>
    <w:basedOn w:val="832"/>
    <w:next w:val="832"/>
    <w:link w:val="68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5">
    <w:name w:val="Intense Quote Char"/>
    <w:link w:val="684"/>
    <w:uiPriority w:val="30"/>
    <w:pPr>
      <w:pBdr/>
      <w:spacing/>
      <w:ind/>
    </w:pPr>
    <w:rPr>
      <w:i/>
    </w:rPr>
  </w:style>
  <w:style w:type="paragraph" w:styleId="686">
    <w:name w:val="Header"/>
    <w:basedOn w:val="832"/>
    <w:link w:val="68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>
    <w:name w:val="Header Char"/>
    <w:basedOn w:val="833"/>
    <w:link w:val="686"/>
    <w:uiPriority w:val="99"/>
    <w:pPr>
      <w:pBdr/>
      <w:spacing/>
      <w:ind/>
    </w:pPr>
  </w:style>
  <w:style w:type="paragraph" w:styleId="688">
    <w:name w:val="Footer"/>
    <w:basedOn w:val="832"/>
    <w:link w:val="69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9">
    <w:name w:val="Footer Char"/>
    <w:basedOn w:val="833"/>
    <w:link w:val="688"/>
    <w:uiPriority w:val="99"/>
    <w:pPr>
      <w:pBdr/>
      <w:spacing/>
      <w:ind/>
    </w:pPr>
  </w:style>
  <w:style w:type="paragraph" w:styleId="690">
    <w:name w:val="Caption"/>
    <w:basedOn w:val="832"/>
    <w:next w:val="83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  <w:pPr>
      <w:pBdr/>
      <w:spacing/>
      <w:ind/>
    </w:pPr>
  </w:style>
  <w:style w:type="table" w:styleId="692">
    <w:name w:val="Table Grid Light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1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2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Plain Table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Plain Table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1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2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3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4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 - Accent 5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6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1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2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3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4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 5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6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1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2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3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4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 5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6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7">
    <w:name w:val="Footnote Text Char"/>
    <w:link w:val="843"/>
    <w:uiPriority w:val="99"/>
    <w:pPr>
      <w:pBdr/>
      <w:spacing/>
      <w:ind/>
    </w:pPr>
    <w:rPr>
      <w:sz w:val="18"/>
    </w:rPr>
  </w:style>
  <w:style w:type="paragraph" w:styleId="818">
    <w:name w:val="endnote text"/>
    <w:basedOn w:val="832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>
    <w:name w:val="Endnote Text Char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83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pBdr/>
      <w:spacing w:after="57"/>
      <w:ind w:right="0" w:firstLine="0" w:left="0"/>
    </w:pPr>
  </w:style>
  <w:style w:type="paragraph" w:styleId="822">
    <w:name w:val="toc 2"/>
    <w:basedOn w:val="832"/>
    <w:next w:val="832"/>
    <w:uiPriority w:val="39"/>
    <w:unhideWhenUsed/>
    <w:pPr>
      <w:pBdr/>
      <w:spacing w:after="57"/>
      <w:ind w:right="0" w:firstLine="0" w:left="283"/>
    </w:pPr>
  </w:style>
  <w:style w:type="paragraph" w:styleId="823">
    <w:name w:val="toc 3"/>
    <w:basedOn w:val="832"/>
    <w:next w:val="832"/>
    <w:uiPriority w:val="39"/>
    <w:unhideWhenUsed/>
    <w:pPr>
      <w:pBdr/>
      <w:spacing w:after="57"/>
      <w:ind w:right="0" w:firstLine="0" w:left="567"/>
    </w:pPr>
  </w:style>
  <w:style w:type="paragraph" w:styleId="824">
    <w:name w:val="toc 4"/>
    <w:basedOn w:val="832"/>
    <w:next w:val="832"/>
    <w:uiPriority w:val="39"/>
    <w:unhideWhenUsed/>
    <w:pPr>
      <w:pBdr/>
      <w:spacing w:after="57"/>
      <w:ind w:right="0" w:firstLine="0" w:left="850"/>
    </w:pPr>
  </w:style>
  <w:style w:type="paragraph" w:styleId="825">
    <w:name w:val="toc 5"/>
    <w:basedOn w:val="832"/>
    <w:next w:val="832"/>
    <w:uiPriority w:val="39"/>
    <w:unhideWhenUsed/>
    <w:pPr>
      <w:pBdr/>
      <w:spacing w:after="57"/>
      <w:ind w:right="0" w:firstLine="0" w:left="1134"/>
    </w:pPr>
  </w:style>
  <w:style w:type="paragraph" w:styleId="826">
    <w:name w:val="toc 6"/>
    <w:basedOn w:val="832"/>
    <w:next w:val="832"/>
    <w:uiPriority w:val="39"/>
    <w:unhideWhenUsed/>
    <w:pPr>
      <w:pBdr/>
      <w:spacing w:after="57"/>
      <w:ind w:right="0" w:firstLine="0" w:left="1417"/>
    </w:pPr>
  </w:style>
  <w:style w:type="paragraph" w:styleId="827">
    <w:name w:val="toc 7"/>
    <w:basedOn w:val="832"/>
    <w:next w:val="832"/>
    <w:uiPriority w:val="39"/>
    <w:unhideWhenUsed/>
    <w:pPr>
      <w:pBdr/>
      <w:spacing w:after="57"/>
      <w:ind w:right="0" w:firstLine="0" w:left="1701"/>
    </w:pPr>
  </w:style>
  <w:style w:type="paragraph" w:styleId="828">
    <w:name w:val="toc 8"/>
    <w:basedOn w:val="832"/>
    <w:next w:val="832"/>
    <w:uiPriority w:val="39"/>
    <w:unhideWhenUsed/>
    <w:pPr>
      <w:pBdr/>
      <w:spacing w:after="57"/>
      <w:ind w:right="0" w:firstLine="0" w:left="1984"/>
    </w:pPr>
  </w:style>
  <w:style w:type="paragraph" w:styleId="829">
    <w:name w:val="toc 9"/>
    <w:basedOn w:val="832"/>
    <w:next w:val="832"/>
    <w:uiPriority w:val="39"/>
    <w:unhideWhenUsed/>
    <w:pPr>
      <w:pBdr/>
      <w:spacing w:after="57"/>
      <w:ind w:right="0" w:firstLine="0"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832"/>
    <w:next w:val="832"/>
    <w:uiPriority w:val="99"/>
    <w:unhideWhenUsed/>
    <w:pPr>
      <w:pBdr/>
      <w:spacing w:after="0" w:afterAutospacing="0"/>
      <w:ind/>
    </w:pPr>
  </w:style>
  <w:style w:type="paragraph" w:styleId="832" w:default="1">
    <w:name w:val="Normal"/>
    <w:pPr>
      <w:widowControl w:val="false"/>
      <w:pBdr/>
      <w:spacing w:after="0" w:line="240" w:lineRule="auto"/>
      <w:ind/>
    </w:pPr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character" w:styleId="833" w:default="1">
    <w:name w:val="Default Paragraph Font"/>
    <w:uiPriority w:val="1"/>
    <w:semiHidden/>
    <w:unhideWhenUsed/>
    <w:pPr>
      <w:pBdr/>
      <w:spacing/>
      <w:ind/>
    </w:pPr>
  </w:style>
  <w:style w:type="table" w:styleId="83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5" w:default="1">
    <w:name w:val="No List"/>
    <w:uiPriority w:val="99"/>
    <w:semiHidden/>
    <w:unhideWhenUsed/>
    <w:pPr>
      <w:pBdr/>
      <w:spacing/>
      <w:ind/>
    </w:pPr>
  </w:style>
  <w:style w:type="character" w:styleId="836" w:customStyle="1">
    <w:name w:val="Основной текст (3)_"/>
    <w:basedOn w:val="833"/>
    <w:link w:val="839"/>
    <w:pPr>
      <w:pBdr/>
      <w:spacing/>
      <w:ind/>
    </w:pPr>
    <w:rPr>
      <w:rFonts w:ascii="Times New Roman" w:hAnsi="Times New Roman" w:eastAsia="Times New Roman" w:cs="Times New Roman"/>
      <w:b/>
      <w:bCs/>
      <w:shd w:val="clear" w:color="auto" w:fill="ffffff"/>
    </w:rPr>
  </w:style>
  <w:style w:type="character" w:styleId="837" w:customStyle="1">
    <w:name w:val="Основной текст (4)"/>
    <w:basedOn w:val="833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single"/>
      <w:lang w:val="ru-RU" w:eastAsia="ru-RU" w:bidi="ru-RU"/>
    </w:rPr>
  </w:style>
  <w:style w:type="character" w:styleId="838" w:customStyle="1">
    <w:name w:val="Основной текст (2)_"/>
    <w:basedOn w:val="833"/>
    <w:link w:val="840"/>
    <w:pPr>
      <w:pBdr/>
      <w:spacing/>
      <w:ind/>
    </w:pPr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839" w:customStyle="1">
    <w:name w:val="Основной текст (3)"/>
    <w:basedOn w:val="832"/>
    <w:link w:val="836"/>
    <w:pPr>
      <w:pBdr/>
      <w:shd w:val="clear" w:color="auto" w:fill="ffffff"/>
      <w:spacing w:line="254" w:lineRule="exact"/>
      <w:ind/>
    </w:pPr>
    <w:rPr>
      <w:rFonts w:ascii="Times New Roman" w:hAnsi="Times New Roman" w:eastAsia="Times New Roman" w:cs="Times New Roman"/>
      <w:b/>
      <w:bCs/>
      <w:color w:val="auto"/>
      <w:sz w:val="22"/>
      <w:szCs w:val="22"/>
      <w:lang w:eastAsia="en-US" w:bidi="ar-SA"/>
    </w:rPr>
  </w:style>
  <w:style w:type="paragraph" w:styleId="840" w:customStyle="1">
    <w:name w:val="Основной текст (2)"/>
    <w:basedOn w:val="832"/>
    <w:link w:val="838"/>
    <w:pPr>
      <w:pBdr/>
      <w:shd w:val="clear" w:color="auto" w:fill="ffffff"/>
      <w:spacing w:after="300" w:before="300" w:line="322" w:lineRule="exact"/>
      <w:ind/>
      <w:jc w:val="center"/>
    </w:pPr>
    <w:rPr>
      <w:rFonts w:ascii="Times New Roman" w:hAnsi="Times New Roman" w:eastAsia="Times New Roman" w:cs="Times New Roman"/>
      <w:color w:val="auto"/>
      <w:sz w:val="28"/>
      <w:szCs w:val="28"/>
      <w:lang w:eastAsia="en-US" w:bidi="ar-SA"/>
    </w:rPr>
  </w:style>
  <w:style w:type="table" w:styleId="841">
    <w:name w:val="Table Grid"/>
    <w:basedOn w:val="834"/>
    <w:uiPriority w:val="59"/>
    <w:pPr>
      <w:pBdr/>
      <w:spacing w:after="0" w:line="240" w:lineRule="auto"/>
      <w:ind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2">
    <w:name w:val="Hyperlink"/>
    <w:basedOn w:val="833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43">
    <w:name w:val="footnote text"/>
    <w:basedOn w:val="832"/>
    <w:link w:val="844"/>
    <w:uiPriority w:val="99"/>
    <w:semiHidden/>
    <w:unhideWhenUsed/>
    <w:pPr>
      <w:widowControl w:val="true"/>
      <w:pBdr/>
      <w:spacing/>
      <w:ind/>
    </w:pPr>
    <w:rPr>
      <w:rFonts w:ascii="Times New Roman" w:hAnsi="Times New Roman" w:cs="Times New Roman" w:eastAsiaTheme="minorHAnsi"/>
      <w:color w:val="auto"/>
      <w:sz w:val="20"/>
      <w:szCs w:val="20"/>
      <w:lang w:eastAsia="en-US" w:bidi="ar-SA"/>
    </w:rPr>
  </w:style>
  <w:style w:type="character" w:styleId="844" w:customStyle="1">
    <w:name w:val="Текст сноски Знак"/>
    <w:basedOn w:val="833"/>
    <w:link w:val="843"/>
    <w:uiPriority w:val="99"/>
    <w:semiHidden/>
    <w:pPr>
      <w:pBdr/>
      <w:spacing/>
      <w:ind/>
    </w:pPr>
    <w:rPr>
      <w:rFonts w:ascii="Times New Roman" w:hAnsi="Times New Roman" w:cs="Times New Roman"/>
      <w:sz w:val="20"/>
      <w:szCs w:val="20"/>
    </w:rPr>
  </w:style>
  <w:style w:type="paragraph" w:styleId="845" w:customStyle="1">
    <w:name w:val="Знак сноски1"/>
    <w:basedOn w:val="832"/>
    <w:link w:val="846"/>
    <w:uiPriority w:val="99"/>
    <w:pPr>
      <w:widowControl w:val="true"/>
      <w:pBdr/>
      <w:spacing w:after="200" w:line="276" w:lineRule="auto"/>
      <w:ind/>
    </w:pPr>
    <w:rPr>
      <w:rFonts w:ascii="Calibri" w:hAnsi="Calibri" w:eastAsia="Times New Roman" w:cs="Times New Roman"/>
      <w:color w:val="auto"/>
      <w:sz w:val="20"/>
      <w:szCs w:val="20"/>
      <w:vertAlign w:val="superscript"/>
      <w:lang w:eastAsia="en-US" w:bidi="ar-SA"/>
    </w:rPr>
  </w:style>
  <w:style w:type="character" w:styleId="846">
    <w:name w:val="footnote reference"/>
    <w:link w:val="845"/>
    <w:uiPriority w:val="99"/>
    <w:pPr>
      <w:pBdr/>
      <w:spacing/>
      <w:ind/>
    </w:pPr>
    <w:rPr>
      <w:rFonts w:ascii="Calibri" w:hAnsi="Calibri" w:eastAsia="Times New Roman" w:cs="Times New Roman"/>
      <w:sz w:val="20"/>
      <w:szCs w:val="20"/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alkeevskiy.tatarstan.ru" TargetMode="External"/><Relationship Id="rId11" Type="http://schemas.openxmlformats.org/officeDocument/2006/relationships/hyperlink" Target="(%20https://alkeevskiy.tatarstan.ru/munkontr.htm)" TargetMode="External"/><Relationship Id="rId12" Type="http://schemas.openxmlformats.org/officeDocument/2006/relationships/hyperlink" Target="(https://alkeevskiy.tatarstan.ru/profilaktika-narusheniy-obyazatelnih-trebovaniy.htm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6</cp:revision>
  <dcterms:created xsi:type="dcterms:W3CDTF">2024-12-17T09:46:00Z</dcterms:created>
  <dcterms:modified xsi:type="dcterms:W3CDTF">2025-01-24T13:20:23Z</dcterms:modified>
</cp:coreProperties>
</file>