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B1"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 xml:space="preserve">ИНФОРМАЦИОННОЕ СООБЩЕНИЕ О ПРОВЕДЕНИИ </w:t>
      </w:r>
      <w:r w:rsidR="008C0B5A">
        <w:rPr>
          <w:rFonts w:ascii="Times New Roman" w:hAnsi="Times New Roman" w:cs="Times New Roman"/>
          <w:b/>
          <w:i/>
          <w:u w:val="single"/>
        </w:rPr>
        <w:t>06.05</w:t>
      </w:r>
      <w:r w:rsidR="006C4723">
        <w:rPr>
          <w:rFonts w:ascii="Times New Roman" w:hAnsi="Times New Roman" w:cs="Times New Roman"/>
          <w:b/>
          <w:i/>
          <w:u w:val="single"/>
        </w:rPr>
        <w:t>.2022</w:t>
      </w:r>
      <w:r w:rsidRPr="002A0F25">
        <w:rPr>
          <w:rFonts w:ascii="Times New Roman" w:hAnsi="Times New Roman" w:cs="Times New Roman"/>
          <w:b/>
        </w:rPr>
        <w:t xml:space="preserve"> </w:t>
      </w:r>
      <w:proofErr w:type="gramStart"/>
      <w:r w:rsidRPr="002A0F25">
        <w:rPr>
          <w:rFonts w:ascii="Times New Roman" w:hAnsi="Times New Roman" w:cs="Times New Roman"/>
          <w:b/>
        </w:rPr>
        <w:t xml:space="preserve">АУКЦИОНА </w:t>
      </w:r>
      <w:r w:rsidR="00CC43B1" w:rsidRPr="002A0F25">
        <w:rPr>
          <w:rFonts w:ascii="Times New Roman" w:hAnsi="Times New Roman" w:cs="Times New Roman"/>
          <w:b/>
        </w:rPr>
        <w:t xml:space="preserve"> ПО</w:t>
      </w:r>
      <w:proofErr w:type="gramEnd"/>
      <w:r w:rsidR="00CC43B1" w:rsidRPr="002A0F25">
        <w:rPr>
          <w:rFonts w:ascii="Times New Roman" w:hAnsi="Times New Roman" w:cs="Times New Roman"/>
          <w:b/>
        </w:rPr>
        <w:t xml:space="preserve"> ПРОДАЖЕ МУНИЦИПАЛЬНОГО ИМУЩЕСТВА </w:t>
      </w:r>
    </w:p>
    <w:p w:rsidR="0054385B"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В ЭЛЕКТРОННОЙ ФОРМЕ</w:t>
      </w:r>
    </w:p>
    <w:p w:rsidR="00EA3030" w:rsidRPr="002A0F25" w:rsidRDefault="00EA3030" w:rsidP="00CC43B1">
      <w:pPr>
        <w:spacing w:after="0"/>
        <w:jc w:val="center"/>
        <w:rPr>
          <w:rFonts w:ascii="Times New Roman" w:hAnsi="Times New Roman" w:cs="Times New Roman"/>
          <w:b/>
        </w:rPr>
      </w:pPr>
    </w:p>
    <w:tbl>
      <w:tblPr>
        <w:tblStyle w:val="a3"/>
        <w:tblW w:w="10097" w:type="dxa"/>
        <w:tblInd w:w="-459" w:type="dxa"/>
        <w:tblLook w:val="04A0" w:firstRow="1" w:lastRow="0" w:firstColumn="1" w:lastColumn="0" w:noHBand="0" w:noVBand="1"/>
      </w:tblPr>
      <w:tblGrid>
        <w:gridCol w:w="456"/>
        <w:gridCol w:w="9641"/>
      </w:tblGrid>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t>1</w:t>
            </w:r>
          </w:p>
        </w:tc>
        <w:tc>
          <w:tcPr>
            <w:tcW w:w="9641" w:type="dxa"/>
          </w:tcPr>
          <w:p w:rsidR="00964959" w:rsidRPr="002A0F25" w:rsidRDefault="00A6531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hAnsi="Times New Roman" w:cs="Times New Roman"/>
                <w:b/>
              </w:rPr>
              <w:t xml:space="preserve">Организация, наделенная функциями Продавца по организации аукциона на электронной площадке: </w:t>
            </w:r>
            <w:r w:rsidR="0056503A" w:rsidRPr="002A0F25">
              <w:rPr>
                <w:rFonts w:ascii="Times New Roman" w:eastAsiaTheme="minorEastAsia" w:hAnsi="Times New Roman" w:cs="Times New Roman"/>
                <w:lang w:bidi="en-US"/>
              </w:rPr>
              <w:t>Палата</w:t>
            </w:r>
            <w:r w:rsidR="00EA3030" w:rsidRPr="002A0F25">
              <w:rPr>
                <w:rFonts w:ascii="Times New Roman" w:eastAsiaTheme="minorEastAsia" w:hAnsi="Times New Roman" w:cs="Times New Roman"/>
                <w:lang w:bidi="en-US"/>
              </w:rPr>
              <w:t xml:space="preserve"> имущественных и земельных отношений Актанышского муниципального района</w:t>
            </w:r>
          </w:p>
          <w:p w:rsidR="00EA3030" w:rsidRPr="002A0F25" w:rsidRDefault="00964959" w:rsidP="00EA3030">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Место нахождения</w:t>
            </w:r>
            <w:r w:rsidR="00EA3030" w:rsidRPr="002A0F25">
              <w:rPr>
                <w:rFonts w:ascii="Times New Roman" w:eastAsia="Times New Roman" w:hAnsi="Times New Roman" w:cs="Times New Roman"/>
                <w:b/>
                <w:lang w:eastAsia="ru-RU"/>
              </w:rPr>
              <w:t xml:space="preserve">: </w:t>
            </w:r>
            <w:r w:rsidR="00EA3030" w:rsidRPr="002A0F25">
              <w:rPr>
                <w:rFonts w:ascii="Times New Roman" w:eastAsiaTheme="minorEastAsia" w:hAnsi="Times New Roman" w:cs="Times New Roman"/>
                <w:color w:val="00000A"/>
                <w:lang w:eastAsia="ar-SA" w:bidi="en-US"/>
              </w:rPr>
              <w:t xml:space="preserve">Республика Татарстан, Актанышский район, с. Актаныш, пр. </w:t>
            </w:r>
            <w:proofErr w:type="gramStart"/>
            <w:r w:rsidR="00EA3030" w:rsidRPr="002A0F25">
              <w:rPr>
                <w:rFonts w:ascii="Times New Roman" w:eastAsiaTheme="minorEastAsia" w:hAnsi="Times New Roman" w:cs="Times New Roman"/>
                <w:color w:val="00000A"/>
                <w:lang w:eastAsia="ar-SA" w:bidi="en-US"/>
              </w:rPr>
              <w:t>Ленина,</w:t>
            </w:r>
            <w:r w:rsidR="0056503A" w:rsidRPr="002A0F25">
              <w:rPr>
                <w:rFonts w:ascii="Times New Roman" w:eastAsiaTheme="minorEastAsia" w:hAnsi="Times New Roman" w:cs="Times New Roman"/>
                <w:color w:val="00000A"/>
                <w:lang w:eastAsia="ar-SA" w:bidi="en-US"/>
              </w:rPr>
              <w:t xml:space="preserve">   </w:t>
            </w:r>
            <w:proofErr w:type="gramEnd"/>
            <w:r w:rsidR="0056503A" w:rsidRPr="002A0F25">
              <w:rPr>
                <w:rFonts w:ascii="Times New Roman" w:eastAsiaTheme="minorEastAsia" w:hAnsi="Times New Roman" w:cs="Times New Roman"/>
                <w:color w:val="00000A"/>
                <w:lang w:eastAsia="ar-SA" w:bidi="en-US"/>
              </w:rPr>
              <w:t xml:space="preserve">  </w:t>
            </w:r>
            <w:r w:rsidR="00EA3030" w:rsidRPr="002A0F25">
              <w:rPr>
                <w:rFonts w:ascii="Times New Roman" w:eastAsiaTheme="minorEastAsia" w:hAnsi="Times New Roman" w:cs="Times New Roman"/>
                <w:color w:val="00000A"/>
                <w:lang w:eastAsia="ar-SA" w:bidi="en-US"/>
              </w:rPr>
              <w:t xml:space="preserve"> д. 17.</w:t>
            </w:r>
            <w:r w:rsidR="00EA3030" w:rsidRPr="002A0F25">
              <w:rPr>
                <w:rFonts w:ascii="Times New Roman" w:eastAsiaTheme="minorEastAsia" w:hAnsi="Times New Roman" w:cs="Times New Roman"/>
                <w:lang w:bidi="en-US"/>
              </w:rPr>
              <w:t xml:space="preserve"> </w:t>
            </w:r>
            <w:r w:rsidR="00EA3030" w:rsidRPr="002A0F25">
              <w:rPr>
                <w:rFonts w:ascii="Times New Roman" w:eastAsiaTheme="minorEastAsia" w:hAnsi="Times New Roman" w:cs="Times New Roman"/>
                <w:color w:val="00000A"/>
                <w:lang w:eastAsia="ar-SA" w:bidi="en-US"/>
              </w:rPr>
              <w:t xml:space="preserve"> </w:t>
            </w:r>
          </w:p>
          <w:p w:rsidR="00CC43B1" w:rsidRPr="002A0F25" w:rsidRDefault="00EA3030"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lang w:eastAsia="ru-RU"/>
              </w:rPr>
              <w:t xml:space="preserve"> </w:t>
            </w:r>
            <w:r w:rsidR="00CC43B1" w:rsidRPr="002A0F25">
              <w:rPr>
                <w:rFonts w:ascii="Times New Roman" w:eastAsia="Times New Roman" w:hAnsi="Times New Roman" w:cs="Times New Roman"/>
                <w:lang w:eastAsia="ru-RU"/>
              </w:rPr>
              <w:t xml:space="preserve">Сайт </w:t>
            </w:r>
            <w:r w:rsidRPr="002A0F25">
              <w:rPr>
                <w:rFonts w:ascii="Times New Roman" w:eastAsia="Times New Roman" w:hAnsi="Times New Roman" w:cs="Times New Roman"/>
                <w:lang w:eastAsia="ru-RU"/>
              </w:rPr>
              <w:t>Актанышский</w:t>
            </w:r>
            <w:r w:rsidR="00964959" w:rsidRPr="002A0F25">
              <w:rPr>
                <w:rFonts w:ascii="Times New Roman" w:eastAsia="Times New Roman" w:hAnsi="Times New Roman" w:cs="Times New Roman"/>
                <w:lang w:eastAsia="ru-RU"/>
              </w:rPr>
              <w:t xml:space="preserve"> муниципального района Республика Татарстан</w:t>
            </w:r>
            <w:r w:rsidRPr="002A0F25">
              <w:rPr>
                <w:rFonts w:ascii="Times New Roman" w:eastAsia="Times New Roman" w:hAnsi="Times New Roman" w:cs="Times New Roman"/>
                <w:lang w:eastAsia="ru-RU"/>
              </w:rPr>
              <w:t xml:space="preserve"> </w:t>
            </w:r>
            <w:r w:rsidRPr="002A0F25">
              <w:rPr>
                <w:rFonts w:ascii="Times New Roman" w:hAnsi="Times New Roman" w:cs="Times New Roman"/>
              </w:rPr>
              <w:t>http://</w:t>
            </w:r>
            <w:hyperlink r:id="rId4" w:history="1">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rFonts w:ascii="Times New Roman" w:eastAsiaTheme="minorEastAsia" w:hAnsi="Times New Roman" w:cs="Times New Roman"/>
                <w:color w:val="0000FF" w:themeColor="hyperlink"/>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A0F25">
              <w:rPr>
                <w:rFonts w:ascii="Times New Roman" w:eastAsia="Times New Roman" w:hAnsi="Times New Roman" w:cs="Times New Roman"/>
                <w:lang w:eastAsia="ru-RU"/>
              </w:rPr>
              <w:t xml:space="preserve"> </w:t>
            </w:r>
            <w:r w:rsidR="00964959" w:rsidRPr="002A0F25">
              <w:rPr>
                <w:rFonts w:ascii="Times New Roman" w:eastAsia="Times New Roman" w:hAnsi="Times New Roman" w:cs="Times New Roman"/>
                <w:lang w:eastAsia="ru-RU"/>
              </w:rPr>
              <w:t xml:space="preserve"> </w:t>
            </w:r>
          </w:p>
          <w:p w:rsidR="00CC43B1"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proofErr w:type="gramStart"/>
            <w:r w:rsidRPr="002A0F25">
              <w:rPr>
                <w:rFonts w:ascii="Times New Roman" w:eastAsia="Times New Roman" w:hAnsi="Times New Roman" w:cs="Times New Roman"/>
                <w:b/>
                <w:lang w:eastAsia="ru-RU"/>
              </w:rPr>
              <w:t>Контактные  телефоны</w:t>
            </w:r>
            <w:proofErr w:type="gramEnd"/>
            <w:r w:rsidRPr="002A0F25">
              <w:rPr>
                <w:rFonts w:ascii="Times New Roman" w:eastAsia="Times New Roman" w:hAnsi="Times New Roman" w:cs="Times New Roman"/>
                <w:lang w:eastAsia="ru-RU"/>
              </w:rPr>
              <w:t xml:space="preserve"> – </w:t>
            </w:r>
            <w:r w:rsidR="00EA3030" w:rsidRPr="002A0F25">
              <w:rPr>
                <w:rFonts w:ascii="Times New Roman" w:eastAsia="Times New Roman" w:hAnsi="Times New Roman" w:cs="Times New Roman"/>
                <w:lang w:eastAsia="ru-RU"/>
              </w:rPr>
              <w:t xml:space="preserve">  </w:t>
            </w:r>
            <w:r w:rsidR="00EA3030" w:rsidRPr="002A0F25">
              <w:rPr>
                <w:rFonts w:ascii="Times New Roman" w:eastAsiaTheme="minorEastAsia" w:hAnsi="Times New Roman" w:cs="Times New Roman"/>
                <w:lang w:bidi="en-US"/>
              </w:rPr>
              <w:t>8(85552) 3-44-10</w:t>
            </w:r>
            <w:r w:rsidR="00EA3030" w:rsidRPr="002A0F25">
              <w:rPr>
                <w:rFonts w:ascii="Times New Roman" w:eastAsia="Times New Roman" w:hAnsi="Times New Roman" w:cs="Times New Roman"/>
                <w:lang w:eastAsia="ru-RU"/>
              </w:rPr>
              <w:t>; 3-44-92</w:t>
            </w:r>
          </w:p>
          <w:p w:rsidR="00964959"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Адрес электронной почты</w:t>
            </w:r>
            <w:r w:rsidR="00CC43B1" w:rsidRPr="002A0F25">
              <w:rPr>
                <w:rFonts w:ascii="Times New Roman" w:eastAsia="Times New Roman" w:hAnsi="Times New Roman" w:cs="Times New Roman"/>
                <w:lang w:eastAsia="ru-RU"/>
              </w:rPr>
              <w:t xml:space="preserve">: </w:t>
            </w:r>
            <w:r w:rsidR="00EA3030" w:rsidRPr="002A0F25">
              <w:rPr>
                <w:rFonts w:ascii="Times New Roman" w:hAnsi="Times New Roman"/>
              </w:rPr>
              <w:t>Рizo.aktanysh@tatar.ru,</w:t>
            </w:r>
          </w:p>
          <w:p w:rsidR="00964959" w:rsidRPr="002A0F25" w:rsidRDefault="00964959" w:rsidP="00EA3030">
            <w:pPr>
              <w:pStyle w:val="a4"/>
              <w:spacing w:before="0" w:beforeAutospacing="0" w:after="0" w:afterAutospacing="0"/>
              <w:jc w:val="both"/>
              <w:rPr>
                <w:b/>
                <w:sz w:val="22"/>
                <w:szCs w:val="22"/>
              </w:rPr>
            </w:pPr>
            <w:r w:rsidRPr="002A0F25">
              <w:rPr>
                <w:b/>
                <w:sz w:val="22"/>
                <w:szCs w:val="22"/>
              </w:rPr>
              <w:t>Ответственное лицо</w:t>
            </w:r>
            <w:r w:rsidR="00BC042B">
              <w:rPr>
                <w:sz w:val="22"/>
                <w:szCs w:val="22"/>
              </w:rPr>
              <w:t xml:space="preserve"> – </w:t>
            </w:r>
            <w:proofErr w:type="spellStart"/>
            <w:r w:rsidR="000A6526">
              <w:rPr>
                <w:sz w:val="22"/>
                <w:szCs w:val="22"/>
              </w:rPr>
              <w:t>Сираева</w:t>
            </w:r>
            <w:proofErr w:type="spellEnd"/>
            <w:r w:rsidR="000A6526">
              <w:rPr>
                <w:sz w:val="22"/>
                <w:szCs w:val="22"/>
              </w:rPr>
              <w:t xml:space="preserve"> Лиана </w:t>
            </w:r>
            <w:proofErr w:type="spellStart"/>
            <w:r w:rsidR="000A6526">
              <w:rPr>
                <w:sz w:val="22"/>
                <w:szCs w:val="22"/>
              </w:rPr>
              <w:t>Рамилевна</w:t>
            </w:r>
            <w:proofErr w:type="spellEnd"/>
            <w:r w:rsidR="00EA3030" w:rsidRPr="002A0F25">
              <w:rPr>
                <w:sz w:val="22"/>
                <w:szCs w:val="22"/>
              </w:rPr>
              <w:t>.</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2</w:t>
            </w:r>
          </w:p>
        </w:tc>
        <w:tc>
          <w:tcPr>
            <w:tcW w:w="9641" w:type="dxa"/>
            <w:vAlign w:val="center"/>
          </w:tcPr>
          <w:p w:rsidR="00964959" w:rsidRPr="002A0F25" w:rsidRDefault="00964959" w:rsidP="00964959">
            <w:pPr>
              <w:pStyle w:val="a6"/>
              <w:keepNext/>
              <w:jc w:val="both"/>
              <w:rPr>
                <w:rFonts w:ascii="Times New Roman" w:hAnsi="Times New Roman" w:cs="Times New Roman"/>
                <w:sz w:val="22"/>
                <w:szCs w:val="22"/>
              </w:rPr>
            </w:pPr>
            <w:r w:rsidRPr="002A0F25">
              <w:rPr>
                <w:rFonts w:ascii="Times New Roman" w:hAnsi="Times New Roman" w:cs="Times New Roman"/>
                <w:b/>
                <w:sz w:val="22"/>
                <w:szCs w:val="22"/>
              </w:rPr>
              <w:t>Способ приватизации:</w:t>
            </w:r>
            <w:r w:rsidR="00CC43B1" w:rsidRPr="002A0F25">
              <w:rPr>
                <w:rFonts w:ascii="Times New Roman" w:hAnsi="Times New Roman" w:cs="Times New Roman"/>
                <w:b/>
                <w:sz w:val="22"/>
                <w:szCs w:val="22"/>
              </w:rPr>
              <w:t xml:space="preserve"> </w:t>
            </w:r>
            <w:r w:rsidRPr="002A0F25">
              <w:rPr>
                <w:rFonts w:ascii="Times New Roman" w:hAnsi="Times New Roman" w:cs="Times New Roman"/>
                <w:sz w:val="22"/>
                <w:szCs w:val="22"/>
              </w:rPr>
              <w:t xml:space="preserve">открытый (по составу участников и по форме подачи предложений о цене) аукцион на </w:t>
            </w:r>
            <w:r w:rsidR="00D65609">
              <w:rPr>
                <w:rFonts w:ascii="Times New Roman" w:hAnsi="Times New Roman" w:cs="Times New Roman"/>
                <w:sz w:val="22"/>
                <w:szCs w:val="22"/>
              </w:rPr>
              <w:t>повышение</w:t>
            </w:r>
            <w:r w:rsidRPr="002A0F25">
              <w:rPr>
                <w:rFonts w:ascii="Times New Roman" w:hAnsi="Times New Roman" w:cs="Times New Roman"/>
                <w:sz w:val="22"/>
                <w:szCs w:val="22"/>
              </w:rPr>
              <w:t xml:space="preserve"> цены по продаже в собственность </w:t>
            </w:r>
            <w:r w:rsidR="00683676" w:rsidRPr="002A0F25">
              <w:rPr>
                <w:rFonts w:ascii="Times New Roman" w:hAnsi="Times New Roman" w:cs="Times New Roman"/>
                <w:sz w:val="22"/>
                <w:szCs w:val="22"/>
              </w:rPr>
              <w:t>недвижимого</w:t>
            </w:r>
            <w:r w:rsidRPr="002A0F25">
              <w:rPr>
                <w:rFonts w:ascii="Times New Roman" w:hAnsi="Times New Roman" w:cs="Times New Roman"/>
                <w:sz w:val="22"/>
                <w:szCs w:val="22"/>
              </w:rPr>
              <w:t xml:space="preserve"> муниципального имущества, проводимый в электронной форме.</w:t>
            </w:r>
          </w:p>
          <w:p w:rsidR="00964959" w:rsidRPr="002A0F25" w:rsidRDefault="00964959" w:rsidP="002A0F25">
            <w:pPr>
              <w:pStyle w:val="a6"/>
              <w:keepNext/>
              <w:jc w:val="both"/>
              <w:rPr>
                <w:rFonts w:ascii="Times New Roman" w:hAnsi="Times New Roman" w:cs="Times New Roman"/>
                <w:sz w:val="22"/>
                <w:szCs w:val="22"/>
              </w:rPr>
            </w:pPr>
            <w:r w:rsidRPr="002A0F25">
              <w:rPr>
                <w:rFonts w:ascii="Times New Roman" w:hAnsi="Times New Roman" w:cs="Times New Roman"/>
                <w:b/>
                <w:sz w:val="22"/>
                <w:szCs w:val="22"/>
              </w:rPr>
              <w:t>Продажа имущества проводится по правилам и в соответствии</w:t>
            </w:r>
            <w:r w:rsidRPr="002A0F25">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2A0F25">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2A0F25">
              <w:rPr>
                <w:rFonts w:ascii="Times New Roman" w:hAnsi="Times New Roman" w:cs="Times New Roman"/>
                <w:sz w:val="22"/>
                <w:szCs w:val="22"/>
              </w:rPr>
              <w:t xml:space="preserve">, на основании </w:t>
            </w:r>
            <w:r w:rsidR="00EA3030" w:rsidRPr="002A0F25">
              <w:rPr>
                <w:rFonts w:ascii="Times New Roman" w:hAnsi="Times New Roman"/>
                <w:sz w:val="22"/>
                <w:szCs w:val="22"/>
              </w:rPr>
              <w:t>распоряжения</w:t>
            </w:r>
            <w:r w:rsidR="00DE39BE" w:rsidRPr="002A0F25">
              <w:rPr>
                <w:rFonts w:ascii="Times New Roman" w:hAnsi="Times New Roman"/>
                <w:sz w:val="22"/>
                <w:szCs w:val="22"/>
              </w:rPr>
              <w:t xml:space="preserve"> Исполнительного комитета </w:t>
            </w:r>
            <w:r w:rsidR="00EA3030" w:rsidRPr="002A0F25">
              <w:rPr>
                <w:rFonts w:ascii="Times New Roman" w:hAnsi="Times New Roman"/>
                <w:sz w:val="22"/>
                <w:szCs w:val="22"/>
              </w:rPr>
              <w:t>Актанышск</w:t>
            </w:r>
            <w:r w:rsidR="00EE003B" w:rsidRPr="002A0F25">
              <w:rPr>
                <w:rFonts w:ascii="Times New Roman" w:hAnsi="Times New Roman"/>
                <w:sz w:val="22"/>
                <w:szCs w:val="22"/>
              </w:rPr>
              <w:t>ого муниципального района от «</w:t>
            </w:r>
            <w:r w:rsidR="008C0B5A">
              <w:rPr>
                <w:rFonts w:ascii="Times New Roman" w:hAnsi="Times New Roman"/>
                <w:sz w:val="22"/>
                <w:szCs w:val="22"/>
              </w:rPr>
              <w:t>05» апреля</w:t>
            </w:r>
            <w:r w:rsidR="006C4723">
              <w:rPr>
                <w:rFonts w:ascii="Times New Roman" w:hAnsi="Times New Roman"/>
                <w:sz w:val="22"/>
                <w:szCs w:val="22"/>
              </w:rPr>
              <w:t xml:space="preserve"> 2022</w:t>
            </w:r>
            <w:r w:rsidR="00EE003B" w:rsidRPr="002A0F25">
              <w:rPr>
                <w:rFonts w:ascii="Times New Roman" w:hAnsi="Times New Roman"/>
                <w:sz w:val="22"/>
                <w:szCs w:val="22"/>
              </w:rPr>
              <w:t xml:space="preserve"> г. № </w:t>
            </w:r>
            <w:r w:rsidR="008C0B5A">
              <w:rPr>
                <w:rFonts w:ascii="Times New Roman" w:hAnsi="Times New Roman"/>
                <w:sz w:val="22"/>
                <w:szCs w:val="22"/>
              </w:rPr>
              <w:t>188</w:t>
            </w:r>
            <w:r w:rsidR="00EA3030" w:rsidRPr="002A0F25">
              <w:rPr>
                <w:rFonts w:ascii="Times New Roman" w:hAnsi="Times New Roman"/>
                <w:sz w:val="22"/>
                <w:szCs w:val="22"/>
              </w:rPr>
              <w:t>-р</w:t>
            </w:r>
            <w:r w:rsidR="00EA3030" w:rsidRPr="002A0F25">
              <w:rPr>
                <w:rFonts w:ascii="Times New Roman" w:hAnsi="Times New Roman" w:cs="Times New Roman"/>
                <w:sz w:val="22"/>
                <w:szCs w:val="22"/>
              </w:rPr>
              <w:t>.</w:t>
            </w:r>
            <w:r w:rsidR="00683676" w:rsidRPr="002A0F25">
              <w:rPr>
                <w:rFonts w:ascii="Times New Roman" w:hAnsi="Times New Roman" w:cs="Times New Roman"/>
                <w:sz w:val="22"/>
                <w:szCs w:val="22"/>
              </w:rPr>
              <w:t xml:space="preserve"> </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3</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2A0F25">
              <w:rPr>
                <w:rFonts w:ascii="Times New Roman" w:eastAsia="Times New Roman" w:hAnsi="Times New Roman" w:cs="Times New Roman"/>
                <w:lang w:eastAsia="ru-RU"/>
              </w:rPr>
              <w:t>Акционерное общество «Агентство по государственному заказу</w:t>
            </w:r>
            <w:r w:rsidR="00CC43B1" w:rsidRPr="002A0F25">
              <w:rPr>
                <w:rFonts w:ascii="Times New Roman" w:eastAsia="Times New Roman" w:hAnsi="Times New Roman" w:cs="Times New Roman"/>
                <w:lang w:eastAsia="ru-RU"/>
              </w:rPr>
              <w:t xml:space="preserve"> </w:t>
            </w:r>
            <w:r w:rsidRPr="002A0F25">
              <w:rPr>
                <w:rFonts w:ascii="Times New Roman" w:eastAsia="Times New Roman" w:hAnsi="Times New Roman" w:cs="Times New Roman"/>
                <w:lang w:eastAsia="ru-RU"/>
              </w:rPr>
              <w:t>Республики Татарстан».</w:t>
            </w:r>
          </w:p>
          <w:p w:rsidR="00964959" w:rsidRPr="002A0F25" w:rsidRDefault="00964959" w:rsidP="00964959">
            <w:pPr>
              <w:keepNext/>
              <w:keepLines/>
              <w:contextualSpacing/>
              <w:mirrorIndents/>
              <w:jc w:val="both"/>
              <w:rPr>
                <w:rFonts w:ascii="Times New Roman" w:eastAsia="Times New Roman" w:hAnsi="Times New Roman" w:cs="Times New Roman"/>
                <w:color w:val="000000"/>
                <w:lang w:eastAsia="ru-RU"/>
              </w:rPr>
            </w:pPr>
            <w:r w:rsidRPr="002A0F25">
              <w:rPr>
                <w:rFonts w:ascii="Times New Roman" w:hAnsi="Times New Roman" w:cs="Times New Roman"/>
                <w:b/>
              </w:rPr>
              <w:t>Место нахождения</w:t>
            </w:r>
            <w:r w:rsidRPr="002A0F25">
              <w:rPr>
                <w:rFonts w:ascii="Times New Roman" w:hAnsi="Times New Roman" w:cs="Times New Roman"/>
              </w:rPr>
              <w:t xml:space="preserve">: 420021, Республика Татарстан, г. Казань, ул. Московская, 55; телефон:292-95-17 – Голованов Михаил Юрьевич. Служба </w:t>
            </w:r>
            <w:proofErr w:type="spellStart"/>
            <w:r w:rsidRPr="002A0F25">
              <w:rPr>
                <w:rFonts w:ascii="Times New Roman" w:hAnsi="Times New Roman" w:cs="Times New Roman"/>
              </w:rPr>
              <w:t>тех.поддержки</w:t>
            </w:r>
            <w:proofErr w:type="spellEnd"/>
            <w:r w:rsidRPr="002A0F25">
              <w:rPr>
                <w:rFonts w:ascii="Times New Roman" w:hAnsi="Times New Roman" w:cs="Times New Roman"/>
              </w:rPr>
              <w:t xml:space="preserve"> – 212-24-25.</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4</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2A0F25">
              <w:rPr>
                <w:rFonts w:ascii="Times New Roman" w:eastAsia="Times New Roman" w:hAnsi="Times New Roman" w:cs="Times New Roman"/>
                <w:lang w:eastAsia="ru-RU"/>
              </w:rPr>
              <w:t xml:space="preserve">утвержденная распоряжением Правительством Российской Федерации от 04.12.2015г. №2488-р - Электронная площадка АО «Агентство по государственному заказу Республики Татарстан» - </w:t>
            </w:r>
            <w:r w:rsidRPr="002A0F25">
              <w:rPr>
                <w:rFonts w:ascii="Times New Roman" w:eastAsia="Times New Roman" w:hAnsi="Times New Roman" w:cs="Times New Roman"/>
                <w:b/>
                <w:lang w:val="en-US" w:eastAsia="ru-RU"/>
              </w:rPr>
              <w:t>sale</w:t>
            </w:r>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zakazrf</w:t>
            </w:r>
            <w:proofErr w:type="spellEnd"/>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5</w:t>
            </w:r>
          </w:p>
        </w:tc>
        <w:tc>
          <w:tcPr>
            <w:tcW w:w="9641" w:type="dxa"/>
          </w:tcPr>
          <w:p w:rsidR="00B003CF" w:rsidRPr="002A0F25" w:rsidRDefault="00B003CF" w:rsidP="00B003CF">
            <w:pPr>
              <w:jc w:val="both"/>
              <w:rPr>
                <w:rFonts w:ascii="Times New Roman" w:hAnsi="Times New Roman" w:cs="Times New Roman"/>
                <w:b/>
              </w:rPr>
            </w:pPr>
            <w:r w:rsidRPr="002A0F25">
              <w:rPr>
                <w:rFonts w:ascii="Times New Roman" w:hAnsi="Times New Roman" w:cs="Times New Roman"/>
                <w:b/>
              </w:rPr>
              <w:t>Наименование государственного имущества (характеристика имущества):</w:t>
            </w:r>
          </w:p>
          <w:p w:rsidR="00B003CF" w:rsidRDefault="00B003CF" w:rsidP="00B003CF">
            <w:pPr>
              <w:jc w:val="both"/>
              <w:rPr>
                <w:rFonts w:ascii="Times New Roman" w:hAnsi="Times New Roman" w:cs="Times New Roman"/>
                <w:b/>
              </w:rPr>
            </w:pPr>
            <w:r w:rsidRPr="002A0F25">
              <w:rPr>
                <w:rFonts w:ascii="Times New Roman" w:hAnsi="Times New Roman" w:cs="Times New Roman"/>
                <w:b/>
              </w:rPr>
              <w:t xml:space="preserve">Лот №1: </w:t>
            </w:r>
          </w:p>
          <w:p w:rsidR="008C0B5A" w:rsidRPr="008C0B5A" w:rsidRDefault="008C0B5A" w:rsidP="008C0B5A">
            <w:pPr>
              <w:jc w:val="both"/>
              <w:rPr>
                <w:rFonts w:ascii="Times New Roman" w:hAnsi="Times New Roman" w:cs="Times New Roman"/>
              </w:rPr>
            </w:pPr>
            <w:r w:rsidRPr="008C0B5A">
              <w:rPr>
                <w:rFonts w:ascii="Times New Roman" w:hAnsi="Times New Roman" w:cs="Times New Roman"/>
              </w:rPr>
              <w:t xml:space="preserve">Нежилое здание – магазин «Алина» и находящийся под ним земельный участок, расположенные по адресу: Республика Татарстан, </w:t>
            </w:r>
            <w:proofErr w:type="spellStart"/>
            <w:r w:rsidRPr="008C0B5A">
              <w:rPr>
                <w:rFonts w:ascii="Times New Roman" w:hAnsi="Times New Roman" w:cs="Times New Roman"/>
              </w:rPr>
              <w:t>Актанышский</w:t>
            </w:r>
            <w:proofErr w:type="spellEnd"/>
            <w:r w:rsidRPr="008C0B5A">
              <w:rPr>
                <w:rFonts w:ascii="Times New Roman" w:hAnsi="Times New Roman" w:cs="Times New Roman"/>
              </w:rPr>
              <w:t xml:space="preserve"> район, с. </w:t>
            </w:r>
            <w:proofErr w:type="spellStart"/>
            <w:r w:rsidRPr="008C0B5A">
              <w:rPr>
                <w:rFonts w:ascii="Times New Roman" w:hAnsi="Times New Roman" w:cs="Times New Roman"/>
              </w:rPr>
              <w:t>Актаныш</w:t>
            </w:r>
            <w:proofErr w:type="spellEnd"/>
            <w:r w:rsidRPr="008C0B5A">
              <w:rPr>
                <w:rFonts w:ascii="Times New Roman" w:hAnsi="Times New Roman" w:cs="Times New Roman"/>
              </w:rPr>
              <w:t xml:space="preserve">, ул. Х. </w:t>
            </w:r>
            <w:proofErr w:type="spellStart"/>
            <w:proofErr w:type="gramStart"/>
            <w:r w:rsidRPr="008C0B5A">
              <w:rPr>
                <w:rFonts w:ascii="Times New Roman" w:hAnsi="Times New Roman" w:cs="Times New Roman"/>
              </w:rPr>
              <w:t>Такташа</w:t>
            </w:r>
            <w:proofErr w:type="spellEnd"/>
            <w:r w:rsidRPr="008C0B5A">
              <w:rPr>
                <w:rFonts w:ascii="Times New Roman" w:hAnsi="Times New Roman" w:cs="Times New Roman"/>
              </w:rPr>
              <w:t>,  д.</w:t>
            </w:r>
            <w:proofErr w:type="gramEnd"/>
            <w:r w:rsidRPr="008C0B5A">
              <w:rPr>
                <w:rFonts w:ascii="Times New Roman" w:hAnsi="Times New Roman" w:cs="Times New Roman"/>
              </w:rPr>
              <w:t xml:space="preserve"> 6а:</w:t>
            </w:r>
          </w:p>
          <w:p w:rsidR="008C0B5A" w:rsidRPr="008C0B5A" w:rsidRDefault="008C0B5A" w:rsidP="008C0B5A">
            <w:pPr>
              <w:jc w:val="both"/>
              <w:rPr>
                <w:rFonts w:ascii="Times New Roman" w:hAnsi="Times New Roman" w:cs="Times New Roman"/>
              </w:rPr>
            </w:pPr>
            <w:r w:rsidRPr="008C0B5A">
              <w:rPr>
                <w:rFonts w:ascii="Times New Roman" w:hAnsi="Times New Roman" w:cs="Times New Roman"/>
              </w:rPr>
              <w:t xml:space="preserve">– 1-этажное здание общей площадью 82,7 </w:t>
            </w:r>
            <w:proofErr w:type="spellStart"/>
            <w:r w:rsidRPr="008C0B5A">
              <w:rPr>
                <w:rFonts w:ascii="Times New Roman" w:hAnsi="Times New Roman" w:cs="Times New Roman"/>
              </w:rPr>
              <w:t>кв.м</w:t>
            </w:r>
            <w:proofErr w:type="spellEnd"/>
            <w:r w:rsidRPr="008C0B5A">
              <w:rPr>
                <w:rFonts w:ascii="Times New Roman" w:hAnsi="Times New Roman" w:cs="Times New Roman"/>
              </w:rPr>
              <w:t>.</w:t>
            </w:r>
            <w:proofErr w:type="gramStart"/>
            <w:r w:rsidRPr="008C0B5A">
              <w:rPr>
                <w:rFonts w:ascii="Times New Roman" w:hAnsi="Times New Roman" w:cs="Times New Roman"/>
              </w:rPr>
              <w:t>,  кадастровый</w:t>
            </w:r>
            <w:proofErr w:type="gramEnd"/>
            <w:r w:rsidRPr="008C0B5A">
              <w:rPr>
                <w:rFonts w:ascii="Times New Roman" w:hAnsi="Times New Roman" w:cs="Times New Roman"/>
              </w:rPr>
              <w:t xml:space="preserve"> номер 16:04:010114:142. Год постройки 2016 год. Баня Имеющее следующие технические характеристики: фундаменты–бетонные; стены – керамзитобетонные блоки; перекрытия-железобетонные плиты; крыша и кровля – </w:t>
            </w:r>
            <w:proofErr w:type="spellStart"/>
            <w:r w:rsidRPr="008C0B5A">
              <w:rPr>
                <w:rFonts w:ascii="Times New Roman" w:hAnsi="Times New Roman" w:cs="Times New Roman"/>
              </w:rPr>
              <w:t>профнастил</w:t>
            </w:r>
            <w:proofErr w:type="spellEnd"/>
            <w:r w:rsidRPr="008C0B5A">
              <w:rPr>
                <w:rFonts w:ascii="Times New Roman" w:hAnsi="Times New Roman" w:cs="Times New Roman"/>
              </w:rPr>
              <w:t>; полы - бетонные; проемы – пластиковые, металлические. Окна – пластиковые. Электротехнические устройства – электроосвещение. Отделка отсутствует. Снаружи здание не обшито.</w:t>
            </w:r>
          </w:p>
          <w:p w:rsidR="008C0B5A" w:rsidRPr="008C0B5A" w:rsidRDefault="008C0B5A" w:rsidP="008C0B5A">
            <w:pPr>
              <w:jc w:val="both"/>
              <w:rPr>
                <w:rFonts w:ascii="Times New Roman" w:hAnsi="Times New Roman" w:cs="Times New Roman"/>
              </w:rPr>
            </w:pPr>
            <w:r w:rsidRPr="008C0B5A">
              <w:rPr>
                <w:rFonts w:ascii="Times New Roman" w:hAnsi="Times New Roman" w:cs="Times New Roman"/>
              </w:rPr>
              <w:t>Общее техническое состояние здания – удовлетворительное. Здание новой постройки, требуется отделка помещения и проведение инженерных коммуникаций.</w:t>
            </w:r>
          </w:p>
          <w:p w:rsidR="008C0B5A" w:rsidRDefault="008C0B5A" w:rsidP="00B003CF">
            <w:pPr>
              <w:jc w:val="both"/>
              <w:rPr>
                <w:rFonts w:ascii="Times New Roman" w:hAnsi="Times New Roman" w:cs="Times New Roman"/>
              </w:rPr>
            </w:pPr>
            <w:r w:rsidRPr="008C0B5A">
              <w:rPr>
                <w:rFonts w:ascii="Times New Roman" w:hAnsi="Times New Roman" w:cs="Times New Roman"/>
              </w:rPr>
              <w:t>- земельный участок, кадастровый номер 16:04:010114:126, общей площадью 2221 кв. м. Разрешенное использование – магазин.</w:t>
            </w:r>
          </w:p>
          <w:p w:rsidR="00B003CF" w:rsidRPr="002A0F25" w:rsidRDefault="00B003CF" w:rsidP="00B003CF">
            <w:pPr>
              <w:jc w:val="both"/>
              <w:rPr>
                <w:rFonts w:ascii="Times New Roman" w:hAnsi="Times New Roman" w:cs="Times New Roman"/>
                <w:b/>
              </w:rPr>
            </w:pPr>
            <w:r w:rsidRPr="002A0F25">
              <w:rPr>
                <w:rFonts w:ascii="Times New Roman" w:hAnsi="Times New Roman" w:cs="Times New Roman"/>
                <w:b/>
              </w:rPr>
              <w:t>Цена первоначального предложения –</w:t>
            </w:r>
            <w:r w:rsidR="00D65609">
              <w:rPr>
                <w:rFonts w:ascii="Times New Roman" w:hAnsi="Times New Roman" w:cs="Times New Roman"/>
                <w:b/>
              </w:rPr>
              <w:t xml:space="preserve"> </w:t>
            </w:r>
            <w:r w:rsidR="008C0B5A" w:rsidRPr="008C0B5A">
              <w:rPr>
                <w:rFonts w:ascii="Times New Roman" w:hAnsi="Times New Roman" w:cs="Times New Roman"/>
              </w:rPr>
              <w:t>2 018 400</w:t>
            </w:r>
            <w:r w:rsidR="008C0B5A" w:rsidRPr="008C0B5A">
              <w:rPr>
                <w:rFonts w:ascii="Times New Roman" w:hAnsi="Times New Roman" w:cs="Times New Roman"/>
                <w:b/>
              </w:rPr>
              <w:t xml:space="preserve"> </w:t>
            </w:r>
            <w:r w:rsidR="00D65609">
              <w:rPr>
                <w:rFonts w:ascii="Times New Roman" w:hAnsi="Times New Roman" w:cs="Times New Roman"/>
              </w:rPr>
              <w:t>(</w:t>
            </w:r>
            <w:r w:rsidR="008C0B5A">
              <w:rPr>
                <w:rFonts w:ascii="Times New Roman" w:hAnsi="Times New Roman" w:cs="Times New Roman"/>
              </w:rPr>
              <w:t xml:space="preserve">Два миллиона восемнадцать </w:t>
            </w:r>
            <w:r w:rsidR="000A6526">
              <w:rPr>
                <w:rFonts w:ascii="Times New Roman" w:hAnsi="Times New Roman" w:cs="Times New Roman"/>
              </w:rPr>
              <w:t>тысяч</w:t>
            </w:r>
            <w:r w:rsidR="008C0B5A">
              <w:rPr>
                <w:rFonts w:ascii="Times New Roman" w:hAnsi="Times New Roman" w:cs="Times New Roman"/>
              </w:rPr>
              <w:t xml:space="preserve"> четыреста</w:t>
            </w:r>
            <w:r w:rsidR="00E319E4">
              <w:rPr>
                <w:rFonts w:ascii="Times New Roman" w:hAnsi="Times New Roman" w:cs="Times New Roman"/>
              </w:rPr>
              <w:t>) р</w:t>
            </w:r>
            <w:r w:rsidRPr="002A0F25">
              <w:rPr>
                <w:rFonts w:ascii="Times New Roman" w:hAnsi="Times New Roman" w:cs="Times New Roman"/>
              </w:rPr>
              <w:t>ублей 00 копеек.</w:t>
            </w:r>
          </w:p>
          <w:p w:rsidR="001A410B" w:rsidRPr="002A0F25" w:rsidRDefault="00E319E4" w:rsidP="00EB7E5F">
            <w:pPr>
              <w:jc w:val="both"/>
              <w:rPr>
                <w:rFonts w:ascii="Times New Roman" w:hAnsi="Times New Roman" w:cs="Times New Roman"/>
              </w:rPr>
            </w:pPr>
            <w:r w:rsidRPr="00E319E4">
              <w:rPr>
                <w:rFonts w:ascii="Times New Roman" w:eastAsia="Calibri" w:hAnsi="Times New Roman" w:cs="Times New Roman"/>
                <w:b/>
                <w:sz w:val="24"/>
                <w:szCs w:val="24"/>
              </w:rPr>
              <w:t>Размер задатка</w:t>
            </w:r>
            <w:r w:rsidRPr="00E319E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0A6526">
              <w:rPr>
                <w:rFonts w:ascii="Times New Roman" w:eastAsia="Calibri" w:hAnsi="Times New Roman" w:cs="Times New Roman"/>
                <w:sz w:val="24"/>
                <w:szCs w:val="24"/>
              </w:rPr>
              <w:t xml:space="preserve"> </w:t>
            </w:r>
            <w:r w:rsidR="008C0B5A" w:rsidRPr="008C0B5A">
              <w:rPr>
                <w:rFonts w:ascii="Times New Roman" w:eastAsia="Calibri" w:hAnsi="Times New Roman" w:cs="Times New Roman"/>
                <w:sz w:val="24"/>
                <w:szCs w:val="24"/>
              </w:rPr>
              <w:t xml:space="preserve">403 680 </w:t>
            </w:r>
            <w:r w:rsidR="008C0B5A">
              <w:rPr>
                <w:rFonts w:ascii="Times New Roman" w:eastAsia="Calibri" w:hAnsi="Times New Roman" w:cs="Times New Roman"/>
                <w:sz w:val="24"/>
                <w:szCs w:val="24"/>
              </w:rPr>
              <w:t xml:space="preserve">(Четыреста три тысячи шестьсот </w:t>
            </w:r>
            <w:r w:rsidR="00BE565C">
              <w:rPr>
                <w:rFonts w:ascii="Times New Roman" w:eastAsia="Calibri" w:hAnsi="Times New Roman" w:cs="Times New Roman"/>
                <w:sz w:val="24"/>
                <w:szCs w:val="24"/>
              </w:rPr>
              <w:t xml:space="preserve">восемьдесят </w:t>
            </w:r>
            <w:r w:rsidR="000A6526">
              <w:rPr>
                <w:rFonts w:ascii="Times New Roman" w:eastAsia="Calibri" w:hAnsi="Times New Roman" w:cs="Times New Roman"/>
                <w:sz w:val="24"/>
                <w:szCs w:val="24"/>
              </w:rPr>
              <w:t>рублей</w:t>
            </w:r>
            <w:r>
              <w:rPr>
                <w:rFonts w:ascii="Times New Roman" w:eastAsia="Calibri" w:hAnsi="Times New Roman" w:cs="Times New Roman"/>
                <w:sz w:val="24"/>
                <w:szCs w:val="24"/>
              </w:rPr>
              <w:t>) рублей 00 копеек.</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6</w:t>
            </w:r>
          </w:p>
        </w:tc>
        <w:tc>
          <w:tcPr>
            <w:tcW w:w="9641" w:type="dxa"/>
          </w:tcPr>
          <w:p w:rsidR="00AF7C25" w:rsidRPr="002A0F25" w:rsidRDefault="00D17546" w:rsidP="00773FA6">
            <w:pPr>
              <w:jc w:val="both"/>
              <w:rPr>
                <w:rFonts w:ascii="Times New Roman" w:hAnsi="Times New Roman" w:cs="Times New Roman"/>
              </w:rPr>
            </w:pPr>
            <w:r w:rsidRPr="002A0F25">
              <w:rPr>
                <w:rFonts w:ascii="Times New Roman" w:hAnsi="Times New Roman" w:cs="Times New Roman"/>
                <w:b/>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r w:rsidRPr="002A0F25">
              <w:rPr>
                <w:rFonts w:ascii="Times New Roman" w:hAnsi="Times New Roman" w:cs="Times New Roman"/>
              </w:rPr>
              <w:t xml:space="preserve"> </w:t>
            </w:r>
            <w:r w:rsidR="00BE565C">
              <w:rPr>
                <w:rFonts w:ascii="Times New Roman" w:hAnsi="Times New Roman" w:cs="Times New Roman"/>
              </w:rPr>
              <w:t>не проводились.</w:t>
            </w:r>
          </w:p>
          <w:p w:rsidR="00C16105" w:rsidRPr="00BE565C" w:rsidRDefault="00765A64" w:rsidP="00BE565C">
            <w:pPr>
              <w:jc w:val="both"/>
              <w:rPr>
                <w:rFonts w:ascii="Times New Roman" w:hAnsi="Times New Roman" w:cs="Times New Roman"/>
              </w:rPr>
            </w:pPr>
            <w:r w:rsidRPr="00765A64">
              <w:rPr>
                <w:rFonts w:ascii="Times New Roman" w:hAnsi="Times New Roman" w:cs="Times New Roman"/>
                <w:sz w:val="24"/>
                <w:szCs w:val="24"/>
              </w:rPr>
              <w:t xml:space="preserve">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7</w:t>
            </w:r>
          </w:p>
        </w:tc>
        <w:tc>
          <w:tcPr>
            <w:tcW w:w="9641" w:type="dxa"/>
          </w:tcPr>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Требование о внесении задатка. </w:t>
            </w:r>
            <w:r w:rsidRPr="002A0F25">
              <w:rPr>
                <w:rFonts w:ascii="Times New Roman" w:eastAsia="Times New Roman" w:hAnsi="Times New Roman" w:cs="Times New Roman"/>
                <w:lang w:eastAsia="ru-RU"/>
              </w:rPr>
              <w:t xml:space="preserve"> Сумма задатка для участия в аукционе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р/с 40302810800024000007, получатель УФК по Республике Татарстан (Министерство финансов Республики Татарстан (</w:t>
            </w:r>
            <w:proofErr w:type="gramStart"/>
            <w:r w:rsidRPr="002A0F25">
              <w:rPr>
                <w:rFonts w:ascii="Times New Roman" w:eastAsia="Times New Roman" w:hAnsi="Times New Roman" w:cs="Times New Roman"/>
                <w:lang w:eastAsia="ru-RU"/>
              </w:rPr>
              <w:t>АО«</w:t>
            </w:r>
            <w:proofErr w:type="gramEnd"/>
            <w:r w:rsidRPr="002A0F25">
              <w:rPr>
                <w:rFonts w:ascii="Times New Roman" w:eastAsia="Times New Roman" w:hAnsi="Times New Roman" w:cs="Times New Roman"/>
                <w:lang w:eastAsia="ru-RU"/>
              </w:rPr>
              <w:t>АГЗРТ», ЛР007020007-АгзСЭК)), банк ПАО «АК БАРС» БАНК г. Казань, БИК 049205805, к/с30101810000000000805, ИНН 1655391893, КПП 165501001. Назначение платежа: Пополнение виртуального счета по площадке sale.zakazrf.ru, счет № _</w:t>
            </w:r>
            <w:proofErr w:type="gramStart"/>
            <w:r w:rsidRPr="002A0F25">
              <w:rPr>
                <w:rFonts w:ascii="Times New Roman" w:eastAsia="Times New Roman" w:hAnsi="Times New Roman" w:cs="Times New Roman"/>
                <w:lang w:eastAsia="ru-RU"/>
              </w:rPr>
              <w:t>_._</w:t>
            </w:r>
            <w:proofErr w:type="gramEnd"/>
            <w:r w:rsidRPr="002A0F25">
              <w:rPr>
                <w:rFonts w:ascii="Times New Roman" w:eastAsia="Times New Roman" w:hAnsi="Times New Roman" w:cs="Times New Roman"/>
                <w:lang w:eastAsia="ru-RU"/>
              </w:rPr>
              <w:t>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Cs/>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C16105" w:rsidRPr="002A0F25" w:rsidRDefault="00964959" w:rsidP="00964959">
            <w:pPr>
              <w:jc w:val="both"/>
              <w:rPr>
                <w:rFonts w:ascii="Times New Roman" w:hAnsi="Times New Roman" w:cs="Times New Roman"/>
                <w:b/>
              </w:rPr>
            </w:pPr>
            <w:r w:rsidRPr="002A0F25">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8</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Дата, время и порядок регистрации претендентов на участие в аукционе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получения возможности участия в торгах на площадке </w:t>
            </w:r>
            <w:r w:rsidRPr="002A0F25">
              <w:rPr>
                <w:b/>
                <w:sz w:val="22"/>
                <w:szCs w:val="22"/>
              </w:rPr>
              <w:t>sale.zakazrf.ru</w:t>
            </w:r>
            <w:r w:rsidRPr="002A0F25">
              <w:rPr>
                <w:sz w:val="22"/>
                <w:szCs w:val="22"/>
              </w:rPr>
              <w:t xml:space="preserve">, пользователь должен пройти процедуру аккредитации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аккредитации размещена в разделе «Документы» см. «Инструкция по регистрации организации».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участию в аукционе размещена в разделе «Документы» см. «Инструкция участника». Электронная площадка функционирует круглосуточно.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9</w:t>
            </w:r>
          </w:p>
        </w:tc>
        <w:tc>
          <w:tcPr>
            <w:tcW w:w="9641" w:type="dxa"/>
          </w:tcPr>
          <w:p w:rsidR="00931A3B" w:rsidRPr="002A0F25"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Порядок, место, даты начала и окончания подачи заявок:</w:t>
            </w:r>
          </w:p>
          <w:p w:rsidR="00D17546" w:rsidRPr="002A0F25" w:rsidRDefault="00931A3B" w:rsidP="00931A3B">
            <w:pPr>
              <w:pStyle w:val="a4"/>
              <w:spacing w:before="0" w:beforeAutospacing="0" w:after="0" w:afterAutospacing="0"/>
              <w:jc w:val="both"/>
              <w:rPr>
                <w:sz w:val="22"/>
                <w:szCs w:val="22"/>
              </w:rPr>
            </w:pPr>
            <w:r w:rsidRPr="002A0F25">
              <w:rPr>
                <w:b/>
                <w:sz w:val="22"/>
                <w:szCs w:val="22"/>
              </w:rPr>
              <w:t>Датой начала срока подачи заявок</w:t>
            </w:r>
            <w:r w:rsidRPr="002A0F25">
              <w:rPr>
                <w:sz w:val="22"/>
                <w:szCs w:val="22"/>
              </w:rPr>
              <w:t xml:space="preserve"> на участие в аукционе является день,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w:t>
            </w:r>
            <w:r w:rsidR="00E319E4">
              <w:rPr>
                <w:sz w:val="22"/>
                <w:szCs w:val="22"/>
              </w:rPr>
              <w:t xml:space="preserve"> </w:t>
            </w:r>
            <w:hyperlink r:id="rId5" w:history="1">
              <w:r w:rsidRPr="002A0F25">
                <w:rPr>
                  <w:b/>
                  <w:color w:val="0000FF"/>
                  <w:sz w:val="22"/>
                  <w:szCs w:val="22"/>
                  <w:u w:val="single"/>
                  <w:lang w:val="en-US"/>
                </w:rPr>
                <w:t>www</w:t>
              </w:r>
              <w:r w:rsidRPr="002A0F25">
                <w:rPr>
                  <w:b/>
                  <w:color w:val="0000FF"/>
                  <w:sz w:val="22"/>
                  <w:szCs w:val="22"/>
                  <w:u w:val="single"/>
                </w:rPr>
                <w:t>.</w:t>
              </w:r>
              <w:proofErr w:type="spellStart"/>
              <w:r w:rsidRPr="002A0F25">
                <w:rPr>
                  <w:b/>
                  <w:color w:val="0000FF"/>
                  <w:sz w:val="22"/>
                  <w:szCs w:val="22"/>
                  <w:u w:val="single"/>
                  <w:lang w:val="en-US"/>
                </w:rPr>
                <w:t>torgi</w:t>
              </w:r>
              <w:proofErr w:type="spellEnd"/>
              <w:r w:rsidRPr="002A0F25">
                <w:rPr>
                  <w:b/>
                  <w:color w:val="0000FF"/>
                  <w:sz w:val="22"/>
                  <w:szCs w:val="22"/>
                  <w:u w:val="single"/>
                </w:rPr>
                <w:t>.</w:t>
              </w:r>
              <w:proofErr w:type="spellStart"/>
              <w:r w:rsidRPr="002A0F25">
                <w:rPr>
                  <w:b/>
                  <w:color w:val="0000FF"/>
                  <w:sz w:val="22"/>
                  <w:szCs w:val="22"/>
                  <w:u w:val="single"/>
                  <w:lang w:val="en-US"/>
                </w:rPr>
                <w:t>gov</w:t>
              </w:r>
              <w:proofErr w:type="spellEnd"/>
              <w:r w:rsidRPr="002A0F25">
                <w:rPr>
                  <w:b/>
                  <w:color w:val="0000FF"/>
                  <w:sz w:val="22"/>
                  <w:szCs w:val="22"/>
                  <w:u w:val="single"/>
                </w:rPr>
                <w:t>.</w:t>
              </w:r>
              <w:proofErr w:type="spellStart"/>
              <w:r w:rsidRPr="002A0F25">
                <w:rPr>
                  <w:b/>
                  <w:color w:val="0000FF"/>
                  <w:sz w:val="22"/>
                  <w:szCs w:val="22"/>
                  <w:u w:val="single"/>
                  <w:lang w:val="en-US"/>
                </w:rPr>
                <w:t>ru</w:t>
              </w:r>
              <w:proofErr w:type="spellEnd"/>
            </w:hyperlink>
            <w:r w:rsidRPr="002A0F25">
              <w:rPr>
                <w:b/>
                <w:color w:val="0000FF"/>
                <w:sz w:val="22"/>
                <w:szCs w:val="22"/>
                <w:u w:val="single"/>
              </w:rPr>
              <w:t xml:space="preserve">, </w:t>
            </w:r>
            <w:r w:rsidR="00DE39BE" w:rsidRPr="002A0F25">
              <w:rPr>
                <w:sz w:val="22"/>
                <w:szCs w:val="22"/>
              </w:rPr>
              <w:t>на сайте Актанышского</w:t>
            </w:r>
            <w:r w:rsidRPr="002A0F25">
              <w:rPr>
                <w:sz w:val="22"/>
                <w:szCs w:val="22"/>
              </w:rPr>
              <w:t xml:space="preserve"> муниципального района Республика Татарстан</w:t>
            </w:r>
            <w:r w:rsidR="00DE39BE" w:rsidRPr="002A0F25">
              <w:rPr>
                <w:sz w:val="22"/>
                <w:szCs w:val="22"/>
              </w:rPr>
              <w:t xml:space="preserve"> </w:t>
            </w:r>
            <w:hyperlink r:id="rId6" w:history="1">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sz w:val="22"/>
                <w:szCs w:val="22"/>
              </w:rPr>
              <w:t xml:space="preserve">, 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r w:rsidRPr="002A0F25">
              <w:rPr>
                <w:b/>
                <w:sz w:val="22"/>
                <w:szCs w:val="22"/>
              </w:rPr>
              <w:t>.</w:t>
            </w:r>
            <w:r w:rsidR="00D17546" w:rsidRPr="002A0F25">
              <w:rPr>
                <w:sz w:val="22"/>
                <w:szCs w:val="22"/>
              </w:rPr>
              <w:t xml:space="preserve"> </w:t>
            </w:r>
          </w:p>
          <w:p w:rsidR="00D17546" w:rsidRPr="002A0F25" w:rsidRDefault="00D17546" w:rsidP="00773FA6">
            <w:pPr>
              <w:pStyle w:val="a4"/>
              <w:spacing w:before="0" w:beforeAutospacing="0" w:after="0" w:afterAutospacing="0"/>
              <w:jc w:val="both"/>
              <w:rPr>
                <w:sz w:val="22"/>
                <w:szCs w:val="22"/>
              </w:rPr>
            </w:pPr>
            <w:r w:rsidRPr="002A0F25">
              <w:rPr>
                <w:b/>
                <w:color w:val="000000" w:themeColor="text1"/>
                <w:sz w:val="22"/>
                <w:szCs w:val="22"/>
              </w:rPr>
              <w:t>Дата окончания приема заявок:</w:t>
            </w:r>
            <w:r w:rsidR="00501A8E" w:rsidRPr="002A0F25">
              <w:rPr>
                <w:sz w:val="22"/>
                <w:szCs w:val="22"/>
              </w:rPr>
              <w:t xml:space="preserve"> </w:t>
            </w:r>
            <w:r w:rsidR="00BE565C">
              <w:rPr>
                <w:sz w:val="22"/>
                <w:szCs w:val="22"/>
              </w:rPr>
              <w:t>04</w:t>
            </w:r>
            <w:r w:rsidR="00EE003B" w:rsidRPr="002A0F25">
              <w:rPr>
                <w:sz w:val="22"/>
                <w:szCs w:val="22"/>
              </w:rPr>
              <w:t>.</w:t>
            </w:r>
            <w:r w:rsidR="00BE565C">
              <w:rPr>
                <w:sz w:val="22"/>
                <w:szCs w:val="22"/>
              </w:rPr>
              <w:t>05</w:t>
            </w:r>
            <w:r w:rsidR="006C4723">
              <w:rPr>
                <w:sz w:val="22"/>
                <w:szCs w:val="22"/>
              </w:rPr>
              <w:t>.2022</w:t>
            </w:r>
            <w:r w:rsidR="0027776F">
              <w:rPr>
                <w:sz w:val="22"/>
                <w:szCs w:val="22"/>
              </w:rPr>
              <w:t xml:space="preserve"> в 14</w:t>
            </w:r>
            <w:bookmarkStart w:id="0" w:name="_GoBack"/>
            <w:bookmarkEnd w:id="0"/>
            <w:r w:rsidRPr="002A0F25">
              <w:rPr>
                <w:sz w:val="22"/>
                <w:szCs w:val="22"/>
              </w:rPr>
              <w:t xml:space="preserve">.00 часов </w:t>
            </w:r>
          </w:p>
          <w:p w:rsidR="00D17546" w:rsidRPr="002A0F25" w:rsidRDefault="00D17546" w:rsidP="00773FA6">
            <w:pPr>
              <w:pStyle w:val="a4"/>
              <w:spacing w:before="0" w:beforeAutospacing="0" w:after="0" w:afterAutospacing="0"/>
              <w:jc w:val="both"/>
              <w:rPr>
                <w:sz w:val="22"/>
                <w:szCs w:val="22"/>
              </w:rPr>
            </w:pPr>
            <w:r w:rsidRPr="002A0F25">
              <w:rPr>
                <w:sz w:val="22"/>
                <w:szCs w:val="22"/>
              </w:rPr>
              <w:t>Для участия в продаже в электронной форме претенденты</w:t>
            </w:r>
            <w:r w:rsidR="00C35371">
              <w:rPr>
                <w:sz w:val="22"/>
                <w:szCs w:val="22"/>
              </w:rPr>
              <w:t xml:space="preserve"> должны зарегистрироваться </w:t>
            </w:r>
            <w:proofErr w:type="gramStart"/>
            <w:r w:rsidR="00C35371">
              <w:rPr>
                <w:sz w:val="22"/>
                <w:szCs w:val="22"/>
              </w:rPr>
              <w:t>на  э</w:t>
            </w:r>
            <w:r w:rsidRPr="002A0F25">
              <w:rPr>
                <w:sz w:val="22"/>
                <w:szCs w:val="22"/>
              </w:rPr>
              <w:t>лектронной</w:t>
            </w:r>
            <w:proofErr w:type="gramEnd"/>
            <w:r w:rsidRPr="002A0F25">
              <w:rPr>
                <w:sz w:val="22"/>
                <w:szCs w:val="22"/>
              </w:rPr>
              <w:t xml:space="preserve"> площадке - </w:t>
            </w:r>
            <w:r w:rsidRPr="002A0F25">
              <w:rPr>
                <w:b/>
                <w:sz w:val="22"/>
                <w:szCs w:val="22"/>
              </w:rPr>
              <w:t>sale.zakazrf.ru.</w:t>
            </w:r>
            <w:r w:rsidRPr="002A0F25">
              <w:rPr>
                <w:sz w:val="22"/>
                <w:szCs w:val="22"/>
              </w:rPr>
              <w:t xml:space="preserve">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подачи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Одно лицо имеет право подать только одну заявку.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Заявки с прилагаемыми к ним документами, поданные с нарушением установленного срока, на электронной площадке не регистрируются.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отзыва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10</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Перечень представляемых участниками аукциона документов и требования к их оформлению: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 </w:t>
            </w:r>
          </w:p>
          <w:p w:rsidR="00D17546" w:rsidRPr="002A0F25" w:rsidRDefault="00D17546" w:rsidP="00773FA6">
            <w:pPr>
              <w:pStyle w:val="a4"/>
              <w:spacing w:before="0" w:beforeAutospacing="0" w:after="0" w:afterAutospacing="0"/>
              <w:jc w:val="both"/>
              <w:rPr>
                <w:sz w:val="22"/>
                <w:szCs w:val="22"/>
              </w:rPr>
            </w:pPr>
            <w:r w:rsidRPr="002A0F25">
              <w:rPr>
                <w:b/>
                <w:sz w:val="22"/>
                <w:szCs w:val="22"/>
              </w:rPr>
              <w:t>физические лица</w:t>
            </w:r>
            <w:r w:rsidRPr="002A0F25">
              <w:rPr>
                <w:sz w:val="22"/>
                <w:szCs w:val="22"/>
              </w:rPr>
              <w:t xml:space="preserve"> предъявляют документ, удостоверяющий личность, или копии всех его листов, согласие на обработку персональных данных; </w:t>
            </w:r>
          </w:p>
          <w:p w:rsidR="00D17546" w:rsidRPr="002A0F25" w:rsidRDefault="00D17546" w:rsidP="00773FA6">
            <w:pPr>
              <w:pStyle w:val="a4"/>
              <w:spacing w:before="0" w:beforeAutospacing="0" w:after="0" w:afterAutospacing="0"/>
              <w:jc w:val="both"/>
              <w:rPr>
                <w:sz w:val="22"/>
                <w:szCs w:val="22"/>
              </w:rPr>
            </w:pPr>
            <w:r w:rsidRPr="002A0F25">
              <w:rPr>
                <w:b/>
                <w:sz w:val="22"/>
                <w:szCs w:val="22"/>
              </w:rPr>
              <w:t>юридические лица</w:t>
            </w:r>
            <w:r w:rsidRPr="002A0F25">
              <w:rPr>
                <w:sz w:val="22"/>
                <w:szCs w:val="22"/>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w:t>
            </w:r>
            <w:r w:rsidRPr="002A0F25">
              <w:rPr>
                <w:sz w:val="22"/>
                <w:szCs w:val="22"/>
              </w:rPr>
              <w:lastRenderedPageBreak/>
              <w:t xml:space="preserve">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Заявка и прилагаемые к ней документы подаются в электронном виде (должны быть отсканированы). </w:t>
            </w:r>
          </w:p>
        </w:tc>
      </w:tr>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11</w:t>
            </w:r>
          </w:p>
        </w:tc>
        <w:tc>
          <w:tcPr>
            <w:tcW w:w="9641" w:type="dxa"/>
          </w:tcPr>
          <w:p w:rsidR="00964959" w:rsidRPr="002A0F25" w:rsidRDefault="00964959" w:rsidP="00773FA6">
            <w:pPr>
              <w:pStyle w:val="a4"/>
              <w:spacing w:before="0" w:beforeAutospacing="0" w:after="0" w:afterAutospacing="0"/>
              <w:jc w:val="both"/>
              <w:rPr>
                <w:b/>
                <w:sz w:val="22"/>
                <w:szCs w:val="22"/>
              </w:rPr>
            </w:pPr>
            <w:r w:rsidRPr="002A0F25">
              <w:rPr>
                <w:b/>
                <w:sz w:val="22"/>
                <w:szCs w:val="22"/>
              </w:rPr>
              <w:t>Ограничения участия в отдельных категорий лиц в приватизации:</w:t>
            </w:r>
            <w:r w:rsidRPr="002A0F25">
              <w:rPr>
                <w:sz w:val="22"/>
                <w:szCs w:val="22"/>
              </w:rPr>
              <w:t xml:space="preserve"> Заявителем - участниками аукциона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12</w:t>
            </w:r>
          </w:p>
        </w:tc>
        <w:tc>
          <w:tcPr>
            <w:tcW w:w="9641" w:type="dxa"/>
            <w:vAlign w:val="center"/>
          </w:tcPr>
          <w:p w:rsidR="00DE39BE" w:rsidRPr="002A0F25" w:rsidRDefault="00931A3B" w:rsidP="00DE39BE">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 xml:space="preserve">Порядок ознакомления покупателей с иной информации: </w:t>
            </w:r>
            <w:r w:rsidRPr="002A0F25">
              <w:rPr>
                <w:rFonts w:ascii="Times New Roman" w:eastAsia="Times New Roman" w:hAnsi="Times New Roman" w:cs="Times New Roman"/>
                <w:lang w:eastAsia="ru-RU"/>
              </w:rPr>
              <w:t>По вопросам организации осмотра, оформления заявки для участия в аукционе, получения дополнительной информации обращаться в рабочие дни с 08.00 до 16.15</w:t>
            </w:r>
            <w:r w:rsidR="00DE39BE" w:rsidRPr="002A0F25">
              <w:rPr>
                <w:rFonts w:ascii="Times New Roman" w:eastAsia="Times New Roman" w:hAnsi="Times New Roman" w:cs="Times New Roman"/>
                <w:lang w:eastAsia="ru-RU"/>
              </w:rPr>
              <w:t>, (обед с 11:30</w:t>
            </w:r>
            <w:r w:rsidRPr="002A0F25">
              <w:rPr>
                <w:rFonts w:ascii="Times New Roman" w:eastAsia="Times New Roman" w:hAnsi="Times New Roman" w:cs="Times New Roman"/>
                <w:lang w:eastAsia="ru-RU"/>
              </w:rPr>
              <w:t xml:space="preserve"> до 13:00) по адресу: РТ, </w:t>
            </w:r>
            <w:r w:rsidR="00DE39BE" w:rsidRPr="002A0F25">
              <w:rPr>
                <w:rFonts w:ascii="Times New Roman" w:eastAsiaTheme="minorEastAsia" w:hAnsi="Times New Roman" w:cs="Times New Roman"/>
                <w:color w:val="00000A"/>
                <w:lang w:eastAsia="ar-SA" w:bidi="en-US"/>
              </w:rPr>
              <w:t>Актанышский район, с. Актаныш, пр. Ленина, д. 17.</w:t>
            </w:r>
            <w:r w:rsidR="00DE39BE" w:rsidRPr="002A0F25">
              <w:rPr>
                <w:rFonts w:ascii="Times New Roman" w:eastAsiaTheme="minorEastAsia" w:hAnsi="Times New Roman" w:cs="Times New Roman"/>
                <w:lang w:bidi="en-US"/>
              </w:rPr>
              <w:t xml:space="preserve"> Тел.:8(85552) 3-44-10</w:t>
            </w:r>
            <w:r w:rsidR="00DE39BE" w:rsidRPr="002A0F25">
              <w:rPr>
                <w:rFonts w:ascii="Times New Roman" w:eastAsia="Times New Roman" w:hAnsi="Times New Roman" w:cs="Times New Roman"/>
                <w:lang w:eastAsia="ru-RU"/>
              </w:rPr>
              <w:t>; 3-44-92.</w:t>
            </w:r>
            <w:r w:rsidR="00DE39BE" w:rsidRPr="002A0F25">
              <w:rPr>
                <w:rFonts w:ascii="Times New Roman" w:eastAsiaTheme="minorEastAsia" w:hAnsi="Times New Roman" w:cs="Times New Roman"/>
                <w:lang w:bidi="en-US"/>
              </w:rPr>
              <w:t xml:space="preserve"> </w:t>
            </w:r>
            <w:r w:rsidR="00DE39BE" w:rsidRPr="002A0F25">
              <w:rPr>
                <w:rFonts w:ascii="Times New Roman" w:eastAsiaTheme="minorEastAsia" w:hAnsi="Times New Roman" w:cs="Times New Roman"/>
                <w:color w:val="00000A"/>
                <w:lang w:eastAsia="ar-SA" w:bidi="en-US"/>
              </w:rPr>
              <w:t xml:space="preserve"> </w:t>
            </w:r>
          </w:p>
          <w:p w:rsidR="00931A3B" w:rsidRPr="002A0F25" w:rsidRDefault="00931A3B" w:rsidP="00DE39BE">
            <w:pPr>
              <w:keepNext/>
              <w:keepLines/>
              <w:contextualSpacing/>
              <w:mirrorIndents/>
              <w:jc w:val="both"/>
              <w:rPr>
                <w:rFonts w:ascii="Times New Roman" w:eastAsia="Times New Roman" w:hAnsi="Times New Roman" w:cs="Times New Roman"/>
                <w:lang w:eastAsia="ru-RU"/>
              </w:rPr>
            </w:pP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13</w:t>
            </w:r>
          </w:p>
        </w:tc>
        <w:tc>
          <w:tcPr>
            <w:tcW w:w="9641" w:type="dxa"/>
            <w:vAlign w:val="center"/>
          </w:tcPr>
          <w:p w:rsidR="00931A3B" w:rsidRPr="002A0F25" w:rsidRDefault="00931A3B" w:rsidP="00931A3B">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Получение разъяснений размещенной информации:</w:t>
            </w:r>
            <w:r w:rsidRPr="002A0F25">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w:t>
            </w:r>
            <w:proofErr w:type="gramStart"/>
            <w:r w:rsidRPr="002A0F25">
              <w:rPr>
                <w:rFonts w:ascii="Times New Roman" w:eastAsia="Times New Roman" w:hAnsi="Times New Roman" w:cs="Times New Roman"/>
                <w:lang w:eastAsia="ru-RU"/>
              </w:rPr>
              <w:t>информации,  но</w:t>
            </w:r>
            <w:proofErr w:type="gramEnd"/>
            <w:r w:rsidRPr="002A0F25">
              <w:rPr>
                <w:rFonts w:ascii="Times New Roman" w:eastAsia="Times New Roman" w:hAnsi="Times New Roman" w:cs="Times New Roman"/>
                <w:lang w:eastAsia="ru-RU"/>
              </w:rPr>
              <w:t xml:space="preserve">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14</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День определения участников и рассмотрение заявок на участие в аукционе: </w:t>
            </w:r>
            <w:r w:rsidR="00BE565C">
              <w:rPr>
                <w:b/>
                <w:i/>
                <w:sz w:val="22"/>
                <w:szCs w:val="22"/>
                <w:u w:val="single"/>
              </w:rPr>
              <w:t>05.05</w:t>
            </w:r>
            <w:r w:rsidR="006C4723">
              <w:rPr>
                <w:b/>
                <w:i/>
                <w:sz w:val="22"/>
                <w:szCs w:val="22"/>
                <w:u w:val="single"/>
              </w:rPr>
              <w:t>.2022</w:t>
            </w:r>
          </w:p>
          <w:p w:rsidR="00C16105" w:rsidRPr="002A0F25" w:rsidRDefault="00931A3B" w:rsidP="00773FA6">
            <w:pPr>
              <w:pStyle w:val="a4"/>
              <w:spacing w:before="0" w:beforeAutospacing="0" w:after="0" w:afterAutospacing="0"/>
              <w:jc w:val="both"/>
              <w:rPr>
                <w:sz w:val="22"/>
                <w:szCs w:val="22"/>
              </w:rPr>
            </w:pPr>
            <w:r w:rsidRPr="002A0F25">
              <w:rPr>
                <w:sz w:val="22"/>
                <w:szCs w:val="22"/>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hyperlink r:id="rId7"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color w:val="000000" w:themeColor="text1"/>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15</w:t>
            </w:r>
          </w:p>
        </w:tc>
        <w:tc>
          <w:tcPr>
            <w:tcW w:w="9641" w:type="dxa"/>
            <w:shd w:val="clear" w:color="auto" w:fill="auto"/>
          </w:tcPr>
          <w:p w:rsidR="00D17546" w:rsidRPr="002A0F25" w:rsidRDefault="00D17546" w:rsidP="00773FA6">
            <w:pPr>
              <w:pStyle w:val="a4"/>
              <w:spacing w:before="0" w:beforeAutospacing="0" w:after="0" w:afterAutospacing="0"/>
              <w:jc w:val="both"/>
              <w:rPr>
                <w:sz w:val="22"/>
                <w:szCs w:val="22"/>
              </w:rPr>
            </w:pPr>
            <w:r w:rsidRPr="002A0F25">
              <w:rPr>
                <w:b/>
                <w:sz w:val="22"/>
                <w:szCs w:val="22"/>
              </w:rPr>
              <w:t>Дата и время проведения аукциона в электронной форме:</w:t>
            </w:r>
            <w:r w:rsidR="00F06B2C" w:rsidRPr="002A0F25">
              <w:rPr>
                <w:sz w:val="22"/>
                <w:szCs w:val="22"/>
              </w:rPr>
              <w:t xml:space="preserve"> </w:t>
            </w:r>
            <w:r w:rsidR="00BE565C">
              <w:rPr>
                <w:b/>
                <w:i/>
                <w:sz w:val="22"/>
                <w:szCs w:val="22"/>
                <w:u w:val="single"/>
              </w:rPr>
              <w:t>06</w:t>
            </w:r>
            <w:r w:rsidR="0027776F">
              <w:rPr>
                <w:b/>
                <w:i/>
                <w:sz w:val="22"/>
                <w:szCs w:val="22"/>
                <w:u w:val="single"/>
              </w:rPr>
              <w:t>.05</w:t>
            </w:r>
            <w:r w:rsidR="006C4723">
              <w:rPr>
                <w:b/>
                <w:i/>
                <w:sz w:val="22"/>
                <w:szCs w:val="22"/>
                <w:u w:val="single"/>
              </w:rPr>
              <w:t>.2022</w:t>
            </w:r>
          </w:p>
          <w:p w:rsidR="00D17546" w:rsidRPr="002A0F25" w:rsidRDefault="00F06B2C" w:rsidP="00773FA6">
            <w:pPr>
              <w:pStyle w:val="a4"/>
              <w:spacing w:before="0" w:beforeAutospacing="0" w:after="0" w:afterAutospacing="0"/>
              <w:jc w:val="both"/>
              <w:rPr>
                <w:sz w:val="22"/>
                <w:szCs w:val="22"/>
              </w:rPr>
            </w:pPr>
            <w:r w:rsidRPr="002A0F25">
              <w:rPr>
                <w:sz w:val="22"/>
                <w:szCs w:val="22"/>
              </w:rPr>
              <w:t xml:space="preserve">Начало в </w:t>
            </w:r>
            <w:r w:rsidRPr="002A0F25">
              <w:rPr>
                <w:b/>
                <w:sz w:val="22"/>
                <w:szCs w:val="22"/>
              </w:rPr>
              <w:t>10</w:t>
            </w:r>
            <w:r w:rsidR="00D17546" w:rsidRPr="002A0F25">
              <w:rPr>
                <w:b/>
                <w:sz w:val="22"/>
                <w:szCs w:val="22"/>
              </w:rPr>
              <w:t>.00</w:t>
            </w:r>
            <w:r w:rsidR="00D17546" w:rsidRPr="002A0F25">
              <w:rPr>
                <w:sz w:val="22"/>
                <w:szCs w:val="22"/>
              </w:rPr>
              <w:t xml:space="preserve"> (время проведения процедуры аукциона соответствует местному времени, в котором функционирует электронная площадка).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Правила проведения аукциона в электронной форме: </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bookmarkStart w:id="1" w:name="sub_161"/>
            <w:r w:rsidRPr="00683676">
              <w:rPr>
                <w:rFonts w:ascii="Times New Roman" w:eastAsia="Times New Roman" w:hAnsi="Times New Roman" w:cs="Times New Roman"/>
                <w:lang w:eastAsia="ru-RU"/>
              </w:rPr>
              <w:t>Время приема предложений участников о цене первоначального предложения составляет 1 (один) час от времени начала проведения процедуры продажи имущества посредством публичного предложения и 10 (десять) минут на представление предложений о цене имущества на каждом "шаге понижения".</w:t>
            </w:r>
          </w:p>
          <w:bookmarkEnd w:id="1"/>
          <w:p w:rsidR="00C16105" w:rsidRPr="002A0F25" w:rsidRDefault="00683676" w:rsidP="00683676">
            <w:pPr>
              <w:pStyle w:val="a4"/>
              <w:spacing w:before="0" w:beforeAutospacing="0" w:after="0" w:afterAutospacing="0"/>
              <w:jc w:val="both"/>
              <w:rPr>
                <w:sz w:val="22"/>
                <w:szCs w:val="22"/>
              </w:rPr>
            </w:pPr>
            <w:r w:rsidRPr="002A0F25">
              <w:rPr>
                <w:sz w:val="22"/>
                <w:szCs w:val="22"/>
              </w:rPr>
              <w:t>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(десять) минут.</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16</w:t>
            </w:r>
          </w:p>
        </w:tc>
        <w:tc>
          <w:tcPr>
            <w:tcW w:w="9641" w:type="dxa"/>
            <w:tcBorders>
              <w:bottom w:val="single" w:sz="4" w:space="0" w:color="auto"/>
            </w:tcBorders>
            <w:vAlign w:val="center"/>
          </w:tcPr>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Порядок определения </w:t>
            </w:r>
            <w:proofErr w:type="gramStart"/>
            <w:r w:rsidRPr="002A0F25">
              <w:rPr>
                <w:rFonts w:ascii="Times New Roman" w:eastAsia="Times New Roman" w:hAnsi="Times New Roman" w:cs="Times New Roman"/>
                <w:b/>
                <w:lang w:eastAsia="ru-RU"/>
              </w:rPr>
              <w:t xml:space="preserve">победителя: </w:t>
            </w:r>
            <w:r w:rsidRPr="002A0F25">
              <w:t xml:space="preserve"> </w:t>
            </w:r>
            <w:r w:rsidRPr="002A0F25">
              <w:rPr>
                <w:rFonts w:ascii="Times New Roman" w:eastAsia="Times New Roman" w:hAnsi="Times New Roman" w:cs="Times New Roman"/>
                <w:lang w:eastAsia="ru-RU"/>
              </w:rPr>
              <w:t>Победителем</w:t>
            </w:r>
            <w:proofErr w:type="gramEnd"/>
            <w:r w:rsidRPr="002A0F25">
              <w:rPr>
                <w:rFonts w:ascii="Times New Roman" w:eastAsia="Times New Roman" w:hAnsi="Times New Roman" w:cs="Times New Roman"/>
                <w:lang w:eastAsia="ru-RU"/>
              </w:rPr>
              <w:t xml:space="preserve"> признается участник:</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 который первым подтвердил начальную цену имущества, в случае если участники не заявляют предложения о цене, превышающей начальную цену имущества, </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предложивший наиболее высокую цену имущества в ходе проведения аукциона, проводимого в случае если любой из участников подтверждает цену первоначального предложения или цену предложения, сложившуюся на одном из "шагов понижения".</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lastRenderedPageBreak/>
              <w:t>17</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Место и срок подведения итогов продажи имущества: </w:t>
            </w:r>
            <w:r w:rsidRPr="002A0F25">
              <w:rPr>
                <w:rFonts w:ascii="Times New Roman" w:eastAsia="Times New Roman" w:hAnsi="Times New Roman" w:cs="Times New Roman"/>
                <w:color w:val="000000"/>
                <w:lang w:eastAsia="ru-RU"/>
              </w:rPr>
              <w:t>По окончании продажи имущества, по месту ее проведения.</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В течение одного часа со времени подписания протокола об итогах продажи имущества посредством публичного </w:t>
            </w:r>
            <w:proofErr w:type="gramStart"/>
            <w:r w:rsidRPr="002A0F25">
              <w:rPr>
                <w:rFonts w:ascii="Times New Roman" w:eastAsia="Times New Roman" w:hAnsi="Times New Roman" w:cs="Times New Roman"/>
                <w:lang w:eastAsia="ru-RU"/>
              </w:rPr>
              <w:t>предложения  победителю</w:t>
            </w:r>
            <w:proofErr w:type="gramEnd"/>
            <w:r w:rsidRPr="002A0F25">
              <w:rPr>
                <w:rFonts w:ascii="Times New Roman" w:eastAsia="Times New Roman" w:hAnsi="Times New Roman" w:cs="Times New Roman"/>
                <w:lang w:eastAsia="ru-RU"/>
              </w:rPr>
              <w:t xml:space="preserve"> направляется уведомление о признании его победителем с приложением этого протокола. </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18</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Возврат задатков участникам продажи имущества: </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Лицам, перечислившим задаток для участия в продаже имущества, денежные средства возвращаются в следующем порядке:</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а) участникам, за исключением победителя, - в течение 5 (пяти) календарных дней со дня подведения итогов 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19</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Срок и условия заключения договора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Победитель аукциона обязан в течение 5 (пяти) рабочих дней со дня подведения итогов аукциона,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Задаток, внесенный победителем аукциона, засчитывается в счет оплаты приобретенного имущества в соответствии с договором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rsidR="00C16105" w:rsidRPr="002A0F25" w:rsidRDefault="00BA39D3" w:rsidP="00773FA6">
            <w:pPr>
              <w:pStyle w:val="a4"/>
              <w:spacing w:before="0" w:beforeAutospacing="0" w:after="0" w:afterAutospacing="0"/>
              <w:jc w:val="both"/>
              <w:rPr>
                <w:sz w:val="22"/>
                <w:szCs w:val="22"/>
              </w:rPr>
            </w:pPr>
            <w:r w:rsidRPr="002A0F25">
              <w:rPr>
                <w:sz w:val="22"/>
                <w:szCs w:val="22"/>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20</w:t>
            </w:r>
          </w:p>
        </w:tc>
        <w:tc>
          <w:tcPr>
            <w:tcW w:w="9641" w:type="dxa"/>
          </w:tcPr>
          <w:p w:rsidR="00C16105" w:rsidRPr="002A0F25" w:rsidRDefault="00931A3B" w:rsidP="00773FA6">
            <w:pPr>
              <w:pStyle w:val="a4"/>
              <w:spacing w:before="0" w:beforeAutospacing="0" w:after="0" w:afterAutospacing="0"/>
              <w:jc w:val="both"/>
              <w:rPr>
                <w:sz w:val="22"/>
                <w:szCs w:val="22"/>
              </w:rPr>
            </w:pPr>
            <w:r w:rsidRPr="002A0F25">
              <w:rPr>
                <w:b/>
                <w:sz w:val="22"/>
                <w:szCs w:val="22"/>
              </w:rPr>
              <w:t>Порядок ознакомления покупателей с условием договора купли-продажи:</w:t>
            </w:r>
            <w:r w:rsidR="00EE003B" w:rsidRPr="002A0F25">
              <w:rPr>
                <w:b/>
                <w:sz w:val="22"/>
                <w:szCs w:val="22"/>
              </w:rPr>
              <w:t xml:space="preserve"> </w:t>
            </w:r>
            <w:r w:rsidRPr="002A0F25">
              <w:rPr>
                <w:sz w:val="22"/>
                <w:szCs w:val="22"/>
              </w:rPr>
              <w:t>проект договора купли-продажи, размещен на официальном сайте Российской Федерации для размещения информации о проведении торгов</w:t>
            </w:r>
            <w:r w:rsidR="00210306" w:rsidRPr="002A0F25">
              <w:rPr>
                <w:sz w:val="22"/>
                <w:szCs w:val="22"/>
              </w:rPr>
              <w:t xml:space="preserve"> </w:t>
            </w:r>
            <w:hyperlink r:id="rId8"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21</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Дополнительные сведения: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2A0F25" w:rsidRDefault="00BA39D3" w:rsidP="00773FA6">
            <w:pPr>
              <w:pStyle w:val="a4"/>
              <w:spacing w:before="0" w:beforeAutospacing="0" w:after="0" w:afterAutospacing="0"/>
              <w:jc w:val="both"/>
              <w:rPr>
                <w:sz w:val="22"/>
                <w:szCs w:val="22"/>
              </w:rPr>
            </w:pPr>
            <w:r w:rsidRPr="002A0F25">
              <w:rPr>
                <w:sz w:val="22"/>
                <w:szCs w:val="22"/>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2A0F25" w:rsidRDefault="00536930" w:rsidP="00536930">
      <w:pPr>
        <w:jc w:val="center"/>
        <w:rPr>
          <w:rFonts w:ascii="Times New Roman" w:hAnsi="Times New Roman" w:cs="Times New Roman"/>
          <w:b/>
        </w:rPr>
      </w:pPr>
    </w:p>
    <w:sectPr w:rsidR="00536930" w:rsidRPr="002A0F25" w:rsidSect="00EB7E5F">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30"/>
    <w:rsid w:val="00006AF4"/>
    <w:rsid w:val="00071A07"/>
    <w:rsid w:val="000A6526"/>
    <w:rsid w:val="0016197C"/>
    <w:rsid w:val="001A09AF"/>
    <w:rsid w:val="001A410B"/>
    <w:rsid w:val="00210306"/>
    <w:rsid w:val="00240185"/>
    <w:rsid w:val="0027776F"/>
    <w:rsid w:val="002A0F25"/>
    <w:rsid w:val="002E7C10"/>
    <w:rsid w:val="00312010"/>
    <w:rsid w:val="00347D68"/>
    <w:rsid w:val="003B3C8C"/>
    <w:rsid w:val="003B50D2"/>
    <w:rsid w:val="004173E1"/>
    <w:rsid w:val="0049205B"/>
    <w:rsid w:val="004F681D"/>
    <w:rsid w:val="004F6F88"/>
    <w:rsid w:val="00501A8E"/>
    <w:rsid w:val="00532262"/>
    <w:rsid w:val="00536930"/>
    <w:rsid w:val="0054385B"/>
    <w:rsid w:val="0056503A"/>
    <w:rsid w:val="00571997"/>
    <w:rsid w:val="005E395E"/>
    <w:rsid w:val="005F6260"/>
    <w:rsid w:val="006670A8"/>
    <w:rsid w:val="00677B00"/>
    <w:rsid w:val="00683676"/>
    <w:rsid w:val="006A2CC7"/>
    <w:rsid w:val="006A7A3C"/>
    <w:rsid w:val="006C4723"/>
    <w:rsid w:val="006F556A"/>
    <w:rsid w:val="0071488A"/>
    <w:rsid w:val="00757C21"/>
    <w:rsid w:val="00765A64"/>
    <w:rsid w:val="00773FA6"/>
    <w:rsid w:val="007F0CB6"/>
    <w:rsid w:val="00814213"/>
    <w:rsid w:val="008C0B5A"/>
    <w:rsid w:val="0091621F"/>
    <w:rsid w:val="00931A3B"/>
    <w:rsid w:val="00964959"/>
    <w:rsid w:val="009821A2"/>
    <w:rsid w:val="00A65319"/>
    <w:rsid w:val="00A8312B"/>
    <w:rsid w:val="00AF7C25"/>
    <w:rsid w:val="00B003CF"/>
    <w:rsid w:val="00B67688"/>
    <w:rsid w:val="00BA39D3"/>
    <w:rsid w:val="00BB52BE"/>
    <w:rsid w:val="00BB557D"/>
    <w:rsid w:val="00BC042B"/>
    <w:rsid w:val="00BE565C"/>
    <w:rsid w:val="00C16105"/>
    <w:rsid w:val="00C163AD"/>
    <w:rsid w:val="00C35371"/>
    <w:rsid w:val="00C675BD"/>
    <w:rsid w:val="00CC43B1"/>
    <w:rsid w:val="00D17546"/>
    <w:rsid w:val="00D65609"/>
    <w:rsid w:val="00DE39BE"/>
    <w:rsid w:val="00E13DE1"/>
    <w:rsid w:val="00E319E4"/>
    <w:rsid w:val="00EA3030"/>
    <w:rsid w:val="00EA5D03"/>
    <w:rsid w:val="00EB7E5F"/>
    <w:rsid w:val="00ED138F"/>
    <w:rsid w:val="00EE003B"/>
    <w:rsid w:val="00F06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E0C2"/>
  <w15:docId w15:val="{DE7C891B-55C0-48EE-99BD-5524E2CE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85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Desktop\&#1044;&#1086;&#1082;&#1091;&#1084;&#1077;&#1085;&#1090;&#1099;%202019\&#1040;&#1091;&#1082;&#1094;&#1080;&#1086;&#1085;\&#1040;&#1074;&#1090;&#1086;\aktanysh.tatarstan.ru" TargetMode="External"/><Relationship Id="rId5" Type="http://schemas.openxmlformats.org/officeDocument/2006/relationships/hyperlink" Target="http://www.torgi.gov.ru" TargetMode="External"/><Relationship Id="rId10" Type="http://schemas.openxmlformats.org/officeDocument/2006/relationships/theme" Target="theme/theme1.xml"/><Relationship Id="rId4" Type="http://schemas.openxmlformats.org/officeDocument/2006/relationships/hyperlink" Target="aktanysh.tatarstan.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1605</TotalTime>
  <Pages>4</Pages>
  <Words>2226</Words>
  <Characters>12692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Пользователь</cp:lastModifiedBy>
  <cp:revision>37</cp:revision>
  <cp:lastPrinted>2019-04-29T08:41:00Z</cp:lastPrinted>
  <dcterms:created xsi:type="dcterms:W3CDTF">2019-05-06T06:07:00Z</dcterms:created>
  <dcterms:modified xsi:type="dcterms:W3CDTF">2022-04-07T08:01:00Z</dcterms:modified>
</cp:coreProperties>
</file>