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86" w:rsidRDefault="003E7386" w:rsidP="003E7386">
      <w:pPr>
        <w:pStyle w:val="40"/>
        <w:shd w:val="clear" w:color="auto" w:fill="auto"/>
        <w:spacing w:before="0" w:after="262"/>
        <w:ind w:left="20" w:right="1180"/>
      </w:pPr>
      <w:bookmarkStart w:id="0" w:name="_GoBack"/>
      <w:r>
        <w:t>О мониторинге финансово-хозяйственной деятельности организаций по итогам работы за 2012 год</w:t>
      </w:r>
    </w:p>
    <w:bookmarkEnd w:id="0"/>
    <w:p w:rsidR="003E7386" w:rsidRDefault="003E7386" w:rsidP="003E7386">
      <w:pPr>
        <w:pStyle w:val="1"/>
        <w:shd w:val="clear" w:color="auto" w:fill="auto"/>
        <w:spacing w:line="317" w:lineRule="exact"/>
        <w:ind w:left="20" w:right="20" w:firstLine="700"/>
        <w:jc w:val="both"/>
      </w:pPr>
      <w:proofErr w:type="gramStart"/>
      <w:r>
        <w:t xml:space="preserve">Приказом Государственного комитета Республики Татарстан по тарифам от 20.02.2013 №42 «О сроках представления информации и необходимых материалов по вопросу анализа результатов финансово-хозяйственной деятельности организаций в сферах холодного и горячего водоснабжения, водоотведения, утилизации (захоронения) твердых бытовых отходов, теплоснабжения и оказания услуг по передаче тепловой энергии, а также анализа влияния регулируемых в соответствии с законодательством </w:t>
      </w:r>
      <w:r>
        <w:t>тарифов (надбавок) на финансово-эк</w:t>
      </w:r>
      <w:r>
        <w:t>ономическое состояние указанных организаций</w:t>
      </w:r>
      <w:proofErr w:type="gramEnd"/>
      <w:r>
        <w:t xml:space="preserve"> по результатам работы за 2012 год» (далее - приказ от 20.02.2013 №42) установлены</w:t>
      </w:r>
      <w:r>
        <w:rPr>
          <w:rStyle w:val="a5"/>
        </w:rPr>
        <w:t xml:space="preserve"> сроки представления регулируемыми организациями отчетности за 2012 год.</w:t>
      </w:r>
      <w:r>
        <w:t xml:space="preserve"> С приказом можно ознакомиться на официальном сайте Государственного комитета Республики Татарстан по тарифам (далее - Госкомитет) </w:t>
      </w:r>
      <w:hyperlink r:id="rId6" w:history="1">
        <w:r>
          <w:rPr>
            <w:rStyle w:val="a3"/>
            <w:lang w:val="en-US"/>
          </w:rPr>
          <w:t>http</w:t>
        </w:r>
        <w:r w:rsidRPr="009C366D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kt</w:t>
        </w:r>
        <w:proofErr w:type="spellEnd"/>
        <w:r w:rsidRPr="009C366D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tatarstan</w:t>
        </w:r>
        <w:proofErr w:type="spellEnd"/>
        <w:r w:rsidRPr="009C366D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9C366D">
        <w:t xml:space="preserve"> </w:t>
      </w:r>
      <w:r>
        <w:t>(раздел «Нормативные документы» &gt; «Приказы и постановления Государственного комитета Республики Татарстан по тарифам»).</w:t>
      </w:r>
    </w:p>
    <w:p w:rsidR="003E7386" w:rsidRDefault="003E7386" w:rsidP="003E7386">
      <w:pPr>
        <w:pStyle w:val="1"/>
        <w:shd w:val="clear" w:color="auto" w:fill="auto"/>
        <w:spacing w:line="317" w:lineRule="exact"/>
        <w:ind w:left="20" w:right="20" w:firstLine="700"/>
        <w:jc w:val="both"/>
      </w:pPr>
      <w:r>
        <w:t>Формы отчетности, необходимые для заполнения по итогам 2012 года, размещены на сайте Госкомитета в разделе «Регулируемым организациям» (подразделы «Организации коммунального комплекса», «Электро- и теплоэнергетика»).</w:t>
      </w:r>
    </w:p>
    <w:p w:rsidR="003E7386" w:rsidRDefault="003E7386" w:rsidP="003E7386">
      <w:pPr>
        <w:pStyle w:val="1"/>
        <w:shd w:val="clear" w:color="auto" w:fill="auto"/>
        <w:spacing w:line="317" w:lineRule="exact"/>
        <w:ind w:left="20" w:right="20" w:firstLine="700"/>
        <w:jc w:val="both"/>
      </w:pPr>
      <w:r>
        <w:t>Отчетные калькуляции себестоимости регулируемых услуг, бухгалтерская отчетность и форма федерального статистического наблюдения №22-жкх (сводная) «Сведения о работе жилищно-коммунальных организаций в условиях реформы» представляются в Госкомитет</w:t>
      </w:r>
      <w:r>
        <w:rPr>
          <w:rStyle w:val="a5"/>
        </w:rPr>
        <w:t xml:space="preserve"> в формате шаблонов ЕИАС</w:t>
      </w:r>
      <w:r>
        <w:t xml:space="preserve"> через федеральную государственную информационную систему «Единая информационно-аналитическая система ФСТ России»</w:t>
      </w:r>
      <w:r>
        <w:rPr>
          <w:rStyle w:val="a5"/>
        </w:rPr>
        <w:t xml:space="preserve"> с использованием электронно-цифровой подписи.</w:t>
      </w:r>
    </w:p>
    <w:p w:rsidR="003E7386" w:rsidRDefault="003E7386" w:rsidP="003E7386">
      <w:pPr>
        <w:pStyle w:val="1"/>
        <w:framePr w:h="260" w:vSpace="711" w:wrap="around" w:hAnchor="margin" w:x="1751" w:y="3206"/>
        <w:shd w:val="clear" w:color="auto" w:fill="auto"/>
        <w:spacing w:line="260" w:lineRule="exact"/>
      </w:pPr>
    </w:p>
    <w:p w:rsidR="003E7386" w:rsidRDefault="003E7386" w:rsidP="003E7386">
      <w:pPr>
        <w:pStyle w:val="1"/>
        <w:shd w:val="clear" w:color="auto" w:fill="auto"/>
        <w:spacing w:line="317" w:lineRule="exact"/>
        <w:ind w:left="20" w:right="20" w:firstLine="700"/>
        <w:jc w:val="both"/>
      </w:pPr>
      <w:proofErr w:type="gramStart"/>
      <w:r>
        <w:t>Информация и необходимые материалы согласно приложению 4 к приказу от 20.02.2013 №42 представляются в Госкомитет в электронном виде по адресу электронной почты отдела мониторинга и наблюдения в сфере коммунального комплекса</w:t>
      </w:r>
      <w:r>
        <w:rPr>
          <w:rStyle w:val="a5"/>
        </w:rPr>
        <w:t xml:space="preserve"> </w:t>
      </w:r>
      <w:hyperlink r:id="rId7" w:history="1">
        <w:r>
          <w:rPr>
            <w:rStyle w:val="a3"/>
            <w:b/>
            <w:bCs/>
            <w:lang w:val="en-US"/>
          </w:rPr>
          <w:t>monitoringokk</w:t>
        </w:r>
        <w:r w:rsidRPr="009C366D">
          <w:rPr>
            <w:rStyle w:val="a3"/>
            <w:b/>
            <w:bCs/>
          </w:rPr>
          <w:t>@</w:t>
        </w:r>
        <w:r>
          <w:rPr>
            <w:rStyle w:val="a3"/>
            <w:b/>
            <w:bCs/>
            <w:lang w:val="en-US"/>
          </w:rPr>
          <w:t>mail</w:t>
        </w:r>
        <w:r w:rsidRPr="009C366D">
          <w:rPr>
            <w:rStyle w:val="a3"/>
            <w:b/>
            <w:bCs/>
          </w:rPr>
          <w:t>.</w:t>
        </w:r>
        <w:r>
          <w:rPr>
            <w:rStyle w:val="a3"/>
            <w:b/>
            <w:bCs/>
            <w:lang w:val="en-US"/>
          </w:rPr>
          <w:t>ru</w:t>
        </w:r>
      </w:hyperlink>
      <w:r w:rsidRPr="009C366D">
        <w:rPr>
          <w:rStyle w:val="a5"/>
        </w:rPr>
        <w:t xml:space="preserve"> </w:t>
      </w:r>
      <w:r>
        <w:rPr>
          <w:rStyle w:val="a5"/>
        </w:rPr>
        <w:t>с обязательным дублированием на бумажном носителе,</w:t>
      </w:r>
      <w:r>
        <w:t xml:space="preserve"> заверенном руководителем организации (за исключением отчетов, представляемых в формате шаблонов ЕИАС через федеральную</w:t>
      </w:r>
      <w:proofErr w:type="gramEnd"/>
      <w:r>
        <w:t xml:space="preserve"> государственную</w:t>
      </w:r>
      <w:r>
        <w:br w:type="page"/>
      </w:r>
    </w:p>
    <w:p w:rsidR="003E7386" w:rsidRDefault="003E7386" w:rsidP="003E7386">
      <w:pPr>
        <w:pStyle w:val="1"/>
        <w:shd w:val="clear" w:color="auto" w:fill="auto"/>
        <w:spacing w:line="312" w:lineRule="exact"/>
        <w:ind w:left="20" w:right="20"/>
      </w:pPr>
      <w:r>
        <w:lastRenderedPageBreak/>
        <w:t>информационную систему «Единая информационно-аналитическая система ФСТ России» с использованием электронно-цифровой подписи).</w:t>
      </w:r>
    </w:p>
    <w:p w:rsidR="003E7386" w:rsidRDefault="003E7386" w:rsidP="003E7386">
      <w:pPr>
        <w:pStyle w:val="1"/>
        <w:shd w:val="clear" w:color="auto" w:fill="auto"/>
        <w:spacing w:line="312" w:lineRule="exact"/>
        <w:ind w:left="20" w:right="20" w:firstLine="700"/>
        <w:jc w:val="both"/>
      </w:pPr>
      <w:r>
        <w:t xml:space="preserve">Ответственным за представление информации сотрудникам организации следует обратить внимание на правильное указание в представляемых </w:t>
      </w:r>
      <w:proofErr w:type="gramStart"/>
      <w:r>
        <w:t>отчетах</w:t>
      </w:r>
      <w:proofErr w:type="gramEnd"/>
      <w:r>
        <w:t xml:space="preserve"> данных об организации (наименование, ИНН, КПП, адрес места нахождения, ФИО руководителя, ФИО исполнителя), а также на необходимость регулярной проверки статуса шаблонов в модуле «ЕИАС Мониторинг» (раздел «Узнать результат рассмотрения») в целях их своевременной корректировки.</w:t>
      </w:r>
    </w:p>
    <w:p w:rsidR="003E7386" w:rsidRDefault="003E7386" w:rsidP="003E7386">
      <w:pPr>
        <w:pStyle w:val="1"/>
        <w:shd w:val="clear" w:color="auto" w:fill="auto"/>
        <w:spacing w:line="312" w:lineRule="exact"/>
        <w:ind w:left="20" w:right="20" w:firstLine="700"/>
        <w:jc w:val="both"/>
      </w:pPr>
      <w:r>
        <w:t>В случае прекращения оказания коммунальных услуг или ликвидации организации необходимо письменно уведомить об этом Госкомитет, приложив к письму подтверждающие документы.</w:t>
      </w:r>
    </w:p>
    <w:p w:rsidR="003E7386" w:rsidRDefault="003E7386" w:rsidP="003E7386">
      <w:pPr>
        <w:pStyle w:val="1"/>
        <w:shd w:val="clear" w:color="auto" w:fill="auto"/>
        <w:spacing w:line="312" w:lineRule="exact"/>
        <w:ind w:left="20" w:right="20" w:firstLine="700"/>
        <w:jc w:val="both"/>
      </w:pPr>
      <w:r>
        <w:t>В ходе представления отчетности просьба обращаться к следующим специалистам Госкомитета:</w:t>
      </w:r>
    </w:p>
    <w:p w:rsidR="003E7386" w:rsidRDefault="003E7386" w:rsidP="003E7386">
      <w:pPr>
        <w:pStyle w:val="1"/>
        <w:numPr>
          <w:ilvl w:val="0"/>
          <w:numId w:val="1"/>
        </w:numPr>
        <w:shd w:val="clear" w:color="auto" w:fill="auto"/>
        <w:tabs>
          <w:tab w:val="left" w:pos="1450"/>
        </w:tabs>
        <w:spacing w:line="312" w:lineRule="exact"/>
        <w:ind w:left="20" w:right="20" w:firstLine="700"/>
        <w:jc w:val="both"/>
      </w:pPr>
      <w:r>
        <w:t>по вопросам представления отчетных калькуляций себестоимости услуг, бухгалтерской отчетности, формы №22-жкх (сводная) «Сведения о работе жилищн</w:t>
      </w:r>
      <w:proofErr w:type="gramStart"/>
      <w:r>
        <w:t>о-</w:t>
      </w:r>
      <w:proofErr w:type="gramEnd"/>
      <w:r>
        <w:t xml:space="preserve"> коммунальных организаций в условиях реформы» -</w:t>
      </w:r>
      <w:r>
        <w:rPr>
          <w:rStyle w:val="a5"/>
        </w:rPr>
        <w:t xml:space="preserve"> в отдел мониторинга и наблюдения в сфере коммунального комплекса</w:t>
      </w:r>
      <w:r>
        <w:t xml:space="preserve"> по тел. (843)221-82-71, 221-82-72, 221-82-73;</w:t>
      </w:r>
    </w:p>
    <w:p w:rsidR="003E7386" w:rsidRDefault="003E7386" w:rsidP="003E7386">
      <w:pPr>
        <w:pStyle w:val="1"/>
        <w:numPr>
          <w:ilvl w:val="0"/>
          <w:numId w:val="1"/>
        </w:numPr>
        <w:shd w:val="clear" w:color="auto" w:fill="auto"/>
        <w:tabs>
          <w:tab w:val="left" w:pos="1455"/>
        </w:tabs>
        <w:spacing w:line="312" w:lineRule="exact"/>
        <w:ind w:left="20" w:right="20" w:firstLine="700"/>
        <w:jc w:val="both"/>
      </w:pPr>
      <w:proofErr w:type="gramStart"/>
      <w:r>
        <w:t>по вопросам представления отчетов о целевых показателях энергосбережения и повышения энергетической эффективности, достигнутых в ходе реализации программы в области энергосбережения и повышения энергетической эффективности, об исполнении плана мероприятий по повышению эффективности деятельности и энергосбережению, о выполнении программы в области энергосбережения и повышения энергетической эффективности, об исполнении инвестиционной программы -</w:t>
      </w:r>
      <w:r>
        <w:rPr>
          <w:rStyle w:val="a5"/>
        </w:rPr>
        <w:t xml:space="preserve"> в отдел контроля программ организаций коммунального комплекса</w:t>
      </w:r>
      <w:r>
        <w:t xml:space="preserve"> по тел. (843)221-82-59, 221-82-60</w:t>
      </w:r>
      <w:proofErr w:type="gramEnd"/>
      <w:r>
        <w:t>, 221-82-61, 221-82-62;</w:t>
      </w:r>
    </w:p>
    <w:p w:rsidR="003E7386" w:rsidRDefault="003E7386" w:rsidP="003E7386">
      <w:pPr>
        <w:framePr w:w="989" w:h="1478" w:vSpace="538" w:wrap="around" w:vAnchor="text" w:hAnchor="margin" w:x="5516" w:y="1724"/>
        <w:jc w:val="center"/>
        <w:rPr>
          <w:sz w:val="0"/>
          <w:szCs w:val="0"/>
        </w:rPr>
      </w:pPr>
    </w:p>
    <w:p w:rsidR="003E7386" w:rsidRDefault="003E7386" w:rsidP="003E7386">
      <w:pPr>
        <w:pStyle w:val="1"/>
        <w:numPr>
          <w:ilvl w:val="0"/>
          <w:numId w:val="1"/>
        </w:numPr>
        <w:shd w:val="clear" w:color="auto" w:fill="auto"/>
        <w:tabs>
          <w:tab w:val="left" w:pos="1450"/>
        </w:tabs>
        <w:spacing w:after="642" w:line="312" w:lineRule="exact"/>
        <w:ind w:left="20" w:right="20" w:firstLine="700"/>
        <w:jc w:val="both"/>
      </w:pPr>
      <w:r>
        <w:t>по вопросам представления отчетов о затратах на ремонт и техническое обслуживание основных средств, затратах на аренду (лизинг), информации и материалов согласно приложению 4 к приказу от 20.02.2013 №42-</w:t>
      </w:r>
      <w:r>
        <w:rPr>
          <w:rStyle w:val="a5"/>
        </w:rPr>
        <w:t xml:space="preserve"> в </w:t>
      </w:r>
      <w:r>
        <w:rPr>
          <w:rStyle w:val="a5"/>
        </w:rPr>
        <w:t xml:space="preserve">отдел тарифов и цен организаций </w:t>
      </w:r>
      <w:r>
        <w:rPr>
          <w:rStyle w:val="a5"/>
        </w:rPr>
        <w:t>коммунального комплекса</w:t>
      </w:r>
      <w:r>
        <w:t xml:space="preserve"> по тел. (843) 221-82-85, 221-82-67, 221-82-68, 221-82-74, 221-82-79.</w:t>
      </w:r>
    </w:p>
    <w:p w:rsidR="00D070AC" w:rsidRDefault="00D070AC"/>
    <w:sectPr w:rsidR="00D0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7880"/>
    <w:multiLevelType w:val="multilevel"/>
    <w:tmpl w:val="2D708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86"/>
    <w:rsid w:val="003E7386"/>
    <w:rsid w:val="00D0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3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38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E73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rsid w:val="003E7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0">
    <w:name w:val="Основной текст (3)"/>
    <w:basedOn w:val="3"/>
    <w:rsid w:val="003E7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a4">
    <w:name w:val="Основной текст_"/>
    <w:basedOn w:val="a0"/>
    <w:link w:val="1"/>
    <w:rsid w:val="003E73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E73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3E73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38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">
    <w:name w:val="Основной текст1"/>
    <w:basedOn w:val="a"/>
    <w:link w:val="a4"/>
    <w:rsid w:val="003E73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40">
    <w:name w:val="Основной текст (4)"/>
    <w:basedOn w:val="a"/>
    <w:link w:val="4"/>
    <w:rsid w:val="003E7386"/>
    <w:pPr>
      <w:shd w:val="clear" w:color="auto" w:fill="FFFFFF"/>
      <w:spacing w:before="720" w:after="30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E7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386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3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38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E73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rsid w:val="003E7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0">
    <w:name w:val="Основной текст (3)"/>
    <w:basedOn w:val="3"/>
    <w:rsid w:val="003E7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a4">
    <w:name w:val="Основной текст_"/>
    <w:basedOn w:val="a0"/>
    <w:link w:val="1"/>
    <w:rsid w:val="003E73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E73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3E73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38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">
    <w:name w:val="Основной текст1"/>
    <w:basedOn w:val="a"/>
    <w:link w:val="a4"/>
    <w:rsid w:val="003E73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40">
    <w:name w:val="Основной текст (4)"/>
    <w:basedOn w:val="a"/>
    <w:link w:val="4"/>
    <w:rsid w:val="003E7386"/>
    <w:pPr>
      <w:shd w:val="clear" w:color="auto" w:fill="FFFFFF"/>
      <w:spacing w:before="720" w:after="30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E7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386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nitoringok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1</cp:revision>
  <dcterms:created xsi:type="dcterms:W3CDTF">2013-02-26T13:20:00Z</dcterms:created>
  <dcterms:modified xsi:type="dcterms:W3CDTF">2013-02-26T13:22:00Z</dcterms:modified>
</cp:coreProperties>
</file>